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Valsts robežsardzes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robežsardzes likumā (Latvijas Vēstnesis, 2020, 223. nr.; 2022, 43. nr.) šādu grozījumu:</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5.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likuma 5. panta pirmās daļas 1., 2., 3., 4., 5., 6., 7., 9. un 11. punktā, kā arī šā likuma 5. panta otrajā daļā minēto uzdevumu izpildi, Robežsardze veic novērošanu, izmantojot tehniskos līdzekļus. Kārtību, kādā Robežsardze savu uzdevumu izpildei veic novērošanu, izmantojot tehniskos līdzekļus, kā arī šādas novērošanas rezultātā iegūto datu apstrādi,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22-TA-243</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22-TA-243</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likumprojekts_(grozījumi)_22-TA-243.docx</dc:title>
</cp:coreProperties>
</file>

<file path=docProps/custom.xml><?xml version="1.0" encoding="utf-8"?>
<Properties xmlns="http://schemas.openxmlformats.org/officeDocument/2006/custom-properties" xmlns:vt="http://schemas.openxmlformats.org/officeDocument/2006/docPropsVTypes"/>
</file>