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atgriešanās apliecības un pagaidu ceļošanas dokumenta izsniegšanu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Personu apliecinošu dokumentu likuma</w:t>
      </w:r>
      <w:r w:rsidR="00000000" w:rsidRPr="00000000" w:rsidDel="00000000">
        <w:rPr>
          <w:rStyle w:val="paragraph"/>
          <w:i w:val="1"/>
          <w:rtl w:val="0"/>
        </w:rPr>
        <w:t xml:space="preserve"> 7.panta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atgriešanās apliecības un pagaidu ceļošanas dokumenta izsniegšanu (turpmāk – valsts nodeva), valsts nodevas samaksas kārtību, kā arī atvieglojumus un atbrīvojumus no valsts nodevas.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ir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29.10.2013. noteikumiem Nr.1202)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nodevu maksā pirms atgriešanās apliecības vai pagaidu ceļošanas dokumenta izsniegšanas.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09.08.2022. noteikumiem Nr. 471)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nodevas maksājumus valsts budžetā persona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pārstāvniecībā, izmantojot maksājumu veidus saskaņā ar rezidences valsts norēķinu specifiku;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maksājumu pakalpojumu sniedzēja starpniecību, kam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pārstāvniecībā ar maksājumu karti maksājumu karšu pieņemšanas terminālī vai citā alternatīvā sistēmā, ja Latvijas Republikas Ārlietu ministrija vai starpniekinstitūcija to tehniski nodrošina.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09.08.2022. noteikumiem Nr. 471)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 valsts nodevas maksājumu veic ar maksājumu pakalpojumu sniedzēja starpniecību, pārstāvniecība atgriešanās apliecību vai pagaidu ceļošanas dokumentu izsniedz pēc valsts nodevas maksājuma summas ieskaitīšanas attiecīgajā valsts pamatbudžeta ieņēmumu kontā Valsts kasē vai pārstāvniecības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persona valsts nodevas maksājumu veic pārstāvniecībā ar maksājumu karti maksājumu karšu pieņemšanas terminālī vai citā alternatīvā sistēmā, pārstāvniecība atgriešanās apliecību vai pagaidu ceļošanas dokumentu izsniedz pēc maksājumu karšu darījuma apstiprināšanas.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atgriešanās apliecības vai pagaidu ceļošanas dokumenta izsniegšanu.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24-TA-2376</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24-TA-2376</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noteikumu_konsolidētā_versija_24-TA-2376.docx</dc:title>
</cp:coreProperties>
</file>

<file path=docProps/custom.xml><?xml version="1.0" encoding="utf-8"?>
<Properties xmlns="http://schemas.openxmlformats.org/officeDocument/2006/custom-properties" xmlns:vt="http://schemas.openxmlformats.org/officeDocument/2006/docPropsVTypes"/>
</file>