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778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16. decembrī (prot. Nr. 52 40.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2024. gada 18. jūnija noteikumos Nr. 388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4.2.1.6. pasākuma "Profesionālās izglītības iestāžu un koledžu mācību vide nozarēm aktuālo prasmju apguvei" pirmās, otrās, trešās un ceturtās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2024. gada 18. jūnija noteikumos Nr. 388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4.2.1.6. pasākuma "Profesionālās izglītības iestāžu un koledžu mācību vide nozarēm aktuālo prasmju apguvei" pirmās, otrās, trešās un ceturtās projektu iesniegumu atlases kārtas īstenošanas noteikumi" (Latvijas Vēstnesis, 2024, 118., 227.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Pasākuma ietvaros pieejamais kopējais attiecināmais finansējums ir 53 275 541</w:t>
      </w:r>
      <w:r w:rsidR="00000000" w:rsidRPr="00000000" w:rsidDel="00000000">
        <w:rPr>
          <w:i w:val="1"/>
          <w:rtl w:val="0"/>
        </w:rPr>
        <w:t xml:space="preserve"> euro</w:t>
      </w:r>
      <w:r w:rsidR="00000000" w:rsidRPr="00000000" w:rsidDel="00000000">
        <w:rPr>
          <w:rtl w:val="0"/>
        </w:rPr>
        <w:t xml:space="preserve">, tai skaitā Eiropas Reģionālās attīstības fonda finansējums – 45 284 208 </w:t>
      </w:r>
      <w:r w:rsidR="00000000" w:rsidRPr="00000000" w:rsidDel="00000000">
        <w:rPr>
          <w:i w:val="1"/>
          <w:rtl w:val="0"/>
        </w:rPr>
        <w:t xml:space="preserve">euro</w:t>
      </w:r>
      <w:r w:rsidR="00000000" w:rsidRPr="00000000" w:rsidDel="00000000">
        <w:rPr>
          <w:rtl w:val="0"/>
        </w:rPr>
        <w:t xml:space="preserve"> (no tā valsts budžeta finansējums, kas pārsniedz pasākumam pieejamo Eiropas Reģionālās attīstības fonda finansējumu, – 5 878 924 </w:t>
      </w:r>
      <w:r w:rsidR="00000000" w:rsidRPr="00000000" w:rsidDel="00000000">
        <w:rPr>
          <w:i w:val="1"/>
          <w:rtl w:val="0"/>
        </w:rPr>
        <w:t xml:space="preserve">euro</w:t>
      </w:r>
      <w:r w:rsidR="00000000" w:rsidRPr="00000000" w:rsidDel="00000000">
        <w:rPr>
          <w:rtl w:val="0"/>
        </w:rPr>
        <w:t xml:space="preserve">) un valsts budžeta līdzfinansējums – 7 991 333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 pirmajai atlases kārtai pieejamais kopējais attiecināmais finansējums ir 26 146 530 </w:t>
      </w:r>
      <w:r w:rsidR="00000000" w:rsidRPr="00000000" w:rsidDel="00000000">
        <w:rPr>
          <w:i w:val="1"/>
          <w:rtl w:val="0"/>
        </w:rPr>
        <w:t xml:space="preserve">euro</w:t>
      </w:r>
      <w:r w:rsidR="00000000" w:rsidRPr="00000000" w:rsidDel="00000000">
        <w:rPr>
          <w:rtl w:val="0"/>
        </w:rPr>
        <w:t xml:space="preserve">, tai skaitā Eiropas Reģionālās attīstības fonda finansējums – 22 224 550 </w:t>
      </w:r>
      <w:r w:rsidR="00000000" w:rsidRPr="00000000" w:rsidDel="00000000">
        <w:rPr>
          <w:i w:val="1"/>
          <w:rtl w:val="0"/>
        </w:rPr>
        <w:t xml:space="preserve">euro</w:t>
      </w:r>
      <w:r w:rsidR="00000000" w:rsidRPr="00000000" w:rsidDel="00000000">
        <w:rPr>
          <w:rtl w:val="0"/>
        </w:rPr>
        <w:t xml:space="preserve"> (no tā valsts budžeta finansējums, kas pārsniedz pasākumam pieejamo Eiropas Reģionālās attīstības fonda finansējumu, – 580 136</w:t>
      </w:r>
      <w:r w:rsidR="00000000" w:rsidRPr="00000000" w:rsidDel="00000000">
        <w:rPr>
          <w:i w:val="1"/>
          <w:rtl w:val="0"/>
        </w:rPr>
        <w:t xml:space="preserve"> euro</w:t>
      </w:r>
      <w:r w:rsidR="00000000" w:rsidRPr="00000000" w:rsidDel="00000000">
        <w:rPr>
          <w:rtl w:val="0"/>
        </w:rPr>
        <w:t xml:space="preserve">) un valsts budžeta līdzfinansējums – 3 921 980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 otrajai atlases kārtai pieejamais kopējais attiecināmais finansējums ir  8 427 790 </w:t>
      </w:r>
      <w:r w:rsidR="00000000" w:rsidRPr="00000000" w:rsidDel="00000000">
        <w:rPr>
          <w:i w:val="1"/>
          <w:rtl w:val="0"/>
        </w:rPr>
        <w:t xml:space="preserve">euro</w:t>
      </w:r>
      <w:r w:rsidR="00000000" w:rsidRPr="00000000" w:rsidDel="00000000">
        <w:rPr>
          <w:rtl w:val="0"/>
        </w:rPr>
        <w:t xml:space="preserve">, tai skaitā Eiropas Reģionālās attīstības fonda finansējums – 7 163 621 </w:t>
      </w:r>
      <w:r w:rsidR="00000000" w:rsidRPr="00000000" w:rsidDel="00000000">
        <w:rPr>
          <w:i w:val="1"/>
          <w:rtl w:val="0"/>
        </w:rPr>
        <w:t xml:space="preserve">euro</w:t>
      </w:r>
      <w:r w:rsidR="00000000" w:rsidRPr="00000000" w:rsidDel="00000000">
        <w:rPr>
          <w:rtl w:val="0"/>
        </w:rPr>
        <w:t xml:space="preserve"> (no tā  valsts budžeta finansējums, kas pārsniedz pasākumam pieejamo Eiropas Reģionālās attīstības fonda finansējumu, – 935 000 </w:t>
      </w:r>
      <w:r w:rsidR="00000000" w:rsidRPr="00000000" w:rsidDel="00000000">
        <w:rPr>
          <w:i w:val="1"/>
          <w:rtl w:val="0"/>
        </w:rPr>
        <w:t xml:space="preserve">euro</w:t>
      </w:r>
      <w:r w:rsidR="00000000" w:rsidRPr="00000000" w:rsidDel="00000000">
        <w:rPr>
          <w:rtl w:val="0"/>
        </w:rPr>
        <w:t xml:space="preserve">) un valsts budžeta līdzfinansējums –1 264 169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8.3. trešajai atlases kārtai  pieejamais kopējais finansējums ir 8 995 895 </w:t>
      </w:r>
      <w:r w:rsidR="00000000" w:rsidRPr="00000000" w:rsidDel="00000000">
        <w:rPr>
          <w:i w:val="1"/>
          <w:rtl w:val="0"/>
        </w:rPr>
        <w:t xml:space="preserve">euro</w:t>
      </w:r>
      <w:r w:rsidR="00000000" w:rsidRPr="00000000" w:rsidDel="00000000">
        <w:rPr>
          <w:rtl w:val="0"/>
        </w:rPr>
        <w:t xml:space="preserve">, tai skaitā Eiropas Reģionālās attīstības fonda finansējums – 7 646 510</w:t>
      </w:r>
      <w:r w:rsidR="00000000" w:rsidRPr="00000000" w:rsidDel="00000000">
        <w:rPr>
          <w:i w:val="1"/>
          <w:rtl w:val="0"/>
        </w:rPr>
        <w:t xml:space="preserve"> euro</w:t>
      </w:r>
      <w:r w:rsidR="00000000" w:rsidRPr="00000000" w:rsidDel="00000000">
        <w:rPr>
          <w:rtl w:val="0"/>
        </w:rPr>
        <w:t xml:space="preserve"> un valsts budžeta līdzfinansējums – 1 349 385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8.4. ceturtajai atlases kārtai 8.1.3. specifiskā atbalsta mērķa projektu otrā posma īstenošanai pieejamais kopējais attiecināmais finansējums ir 9 705 326 </w:t>
      </w:r>
      <w:r w:rsidR="00000000" w:rsidRPr="00000000" w:rsidDel="00000000">
        <w:rPr>
          <w:i w:val="1"/>
          <w:rtl w:val="0"/>
        </w:rPr>
        <w:t xml:space="preserve">euro</w:t>
      </w:r>
      <w:r w:rsidR="00000000" w:rsidRPr="00000000" w:rsidDel="00000000">
        <w:rPr>
          <w:rtl w:val="0"/>
        </w:rPr>
        <w:t xml:space="preserve">, tai skaitā Eiropas Reģionālās attīstības fonda finansējums – 8 249 527 </w:t>
      </w:r>
      <w:r w:rsidR="00000000" w:rsidRPr="00000000" w:rsidDel="00000000">
        <w:rPr>
          <w:i w:val="1"/>
          <w:rtl w:val="0"/>
        </w:rPr>
        <w:t xml:space="preserve">euro</w:t>
      </w:r>
      <w:r w:rsidR="00000000" w:rsidRPr="00000000" w:rsidDel="00000000">
        <w:rPr>
          <w:rtl w:val="0"/>
        </w:rPr>
        <w:t xml:space="preserve"> (no tā valsts budžeta finansējums, kas pārsniedz pasākumam pieejamo Eiropas Reģionālās attīstības fonda finansējumu, – 4 363 788 </w:t>
      </w:r>
      <w:r w:rsidR="00000000" w:rsidRPr="00000000" w:rsidDel="00000000">
        <w:rPr>
          <w:i w:val="1"/>
          <w:rtl w:val="0"/>
        </w:rPr>
        <w:t xml:space="preserve">euro</w:t>
      </w:r>
      <w:r w:rsidR="00000000" w:rsidRPr="00000000" w:rsidDel="00000000">
        <w:rPr>
          <w:rtl w:val="0"/>
        </w:rPr>
        <w:t xml:space="preserve">) un valsts budžeta līdzfinansējums – 1 455 799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 10.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 12.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28.12.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"28.12. iekārtu un aprīkojuma iegādes un pakalpojumu izmaksas horizontālā principa "Vienlīdzība, iekļaušana, nediskriminācija un pamattiesību ievērošana" darbību īstenošanai šo noteikumu 15. un 18. punktā minētajiem finansējuma saņēmējiem un 14. un 17. punktā minētajiem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43.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 Finansējuma saņēmējs un sadarbības partneris nodrošina, ka projekta īstenošanas laikā tiek ievēroti interešu konflikta, korupcijas un krāpšanas novēršanas nosacījumi, un paredz, ka projekta vadībā iesaistītais projekta personāls ir informēts par korupcijas un Eiropas Parlamenta un Padomes 2024. gada 23. septembra Regulas (ES, Euratom) Nr. 2024/2509 par finanšu noteikumiem, ko piemēro Savienības vispārējam budžetam (pārstrādāta redakcija), 61. pantā noteiktajiem interešu konflikta novēršanas jautājumiem, par krāpšanas pazīmēm un pienākumu ziņot par konstatētajām aizdomām, kā arī par ziņotāju aizsardzību atbilstoši Trauksmes celšanas likumam."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51.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 Lai atbalsts infrastruktūrai netiktu kvalificēts kā komercdarbības atbalsts, infrastruktūrā, kuru izmanto šo noteikumu 14. (izņemot 14.13. apakšpunktu), 17. un 18. punktā minēto profesionālās izglītības iestāžu vajadzībām, pamatlīdzekļu un ilgtermiņa ieguldījumu amortizācijas periodā ir pieļaujams veikt papildinošu saimniecisko darbību ne vairāk kā 20 procentu apmērā no infrastruktūras gada jaudas platības, laika vai finanšu izteiksmē un ir pieļaujams sniegt papildpakalpojumus. Ar papildinošu saimniecisko darbību saprot darbības, kas ir tieši saistītas ar infrastruktūras ekspluatāciju un tai nepieciešamas vai nesaraujami saistītas ar tās galveno ar saimniecisko darbību nesaistīto izmantojumu, patērējot tādu pašu resursu (piemēram, materiāli, aprīkojums, darbaspēks, pamatkapitāls) apjomu kā ar saimniecisko darbību nesaistītajām darbībām. Ar papildpakalpojumiem saprot tādus pakalpojumus infrastruktūrā, kurus galvenokārt izmanto tikai ar saimniecisko darbību nesaistītai darbībai un kuriem pašiem par sevi nebūtu ietekmes uz tirdzniecību un konkurenci Eiropas Savienības iekšējā tirgū."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52.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 Sadarbības iestāde saskaņā ar atbildīgās iestādes izstrādāto papildinošas saimnieciskās darbības uzraudzības metodiku nodrošina veikto investīciju atbilstības uzraudzību visā projekta dzīves ciklā (10 – 15 gadu robežās) saskaņā ar šo noteikumu 50. un 51. punkta nosacījumiem.  Pirmās un trešās atlases kārtas ietvaros sadarbības partneris, bet ceturtās atlases kārtas ietvaros finansējuma saņēmējs visā projekta dzīves ciklā ik gadu sagatavo pārskatu par papildinošas saimnieciskās darbības apjomu un nodrošina šajā punktā minēto pārskatu un aprēķinus pamatojošo dokumentu pieejamību papildinošas saimnieciskās darbības uzraudzībai. Ja pirmās un trešās atlases kārtas ietvaros sadarbības partneris, bet ceturtās atlases kārtas ietvaros finansējuma saņēmējs konstatē, ka ir pārsniegts šo noteikumu 51. punktā minētais 20 procentu ierobežojums no infrastruktūras gada jaudas platības, laika vai finanšu izteiksmē vai ka veiktās investīcijas tiek izmantotas citai saimnieciskai darbībai, kas nav uzskatāma par papildinošu saimniecisku darbību, tas saskaņā ar civiltiesisko līgumu vai vienošanos par projekta īstenošanu noteiktajā termiņā iesniedz sadarbības iestādē ziņojumu par konstatēto šo noteikumu 50. un 51. punktā minēto nosacījumu pārkāpumu."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52.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 Ja sadarbības iestāde projekta dzīves cikla laikā konstatē, ka ēkā, ēkas daļā vai ēku grupā, par kuru iesniegts projekta iesniegums, tiek veikta saimnieciskā darbība, kas nav uzskatāma par papildpakalpojumu, vai tiek veikta papildinoša saimnieciskā darbība, kas pārsniedz šo noteikumu 51. punktā minēto apmēru, vai tiek veikta saimnieciskā darbība, kas nav uzskatāma par papildinošu saimniecisko darbību, pirmās un trešās atlases kārtas ietvaros sadarbības partnerim, bet ceturtās atlases kārtas ietvaros finansējuma saņēmējam proporcionāli tai gada jaudas daļai platības, laika vai finanšu izteiksmē, par kuru kopumā ir konstatēts pārkāpums, ir pienākums atmaksāt sadarbības iestādei saņemto nelikumīgo komercdarbības atbalstu kopā ar procentiem, kurus aprēķina par laikposmu, kas sākas pārkāpuma gadā, no līdzekļiem, kas brīvi no komercdarbības atbalsta, saskaņā ar Komercdarbības atbalsta kontroles likuma IV vai V nodaļas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52.</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2</w:t>
      </w:r>
      <w:r w:rsidR="00000000" w:rsidRPr="00000000" w:rsidDel="00000000">
        <w:rPr>
          <w:rtl w:val="0"/>
        </w:rPr>
        <w:t xml:space="preserve"> Atbalsts infrastruktūrai, kura tiek izmantota šo noteikumu 14.13. apakšpunktā minētās profesionālās izglītības iestādes un šo noteikumu 15.1. un 15.2. apakšpunktā minēto profesionālās vidējās kultūrizglītības iestāžu vajadzībām, netiek kvalificēts kā komercdarbības atbalsts, ja tajā īstenotā saimnieciskā darbība atbilst šādiem nosacījumiem: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2</w:t>
      </w:r>
      <w:r w:rsidR="00000000" w:rsidRPr="00000000" w:rsidDel="00000000">
        <w:rPr>
          <w:rtl w:val="0"/>
        </w:rPr>
        <w:t xml:space="preserve">1. tai nav saimnieciska rakstura, ja pašu ieņēmumi atbalstītajā infrastruktūrā nepārsniedz 50 procentus no projektā atbalstītās infrastruktūras gada budžeta;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2</w:t>
      </w:r>
      <w:r w:rsidR="00000000" w:rsidRPr="00000000" w:rsidDel="00000000">
        <w:rPr>
          <w:rtl w:val="0"/>
        </w:rPr>
        <w:t xml:space="preserve">2. ja pašu ieņēmumi projektā atbalstītajā infrastruktūrā ir lielāki par 50 procentiem no projektā atbalstītās infrastruktūras gada budžeta, tad projektam ir saimniecisks raksturs, tomēr tas nav kvalificējams kā atbalsts komercdarbībai, ja projektam nav ietekmes uz konkurenci un tirdzniecību Eiropas Savienības iekšējā tirgū, ko vērtē atbilstoši kādam no šādiem kritērijiem: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2</w:t>
      </w:r>
      <w:r w:rsidR="00000000" w:rsidRPr="00000000" w:rsidDel="00000000">
        <w:rPr>
          <w:rtl w:val="0"/>
        </w:rPr>
        <w:t xml:space="preserve">2.1. no visiem kultūras jomā sniegto pakalpojumu saņēmējiem vai projektā atbalstītās infrastruktūras apmeklētājiem, vai profesionālās vidējās kultūrizglītības iestāžu audzēkņiem gadā 85 procenti vai vairāk ir Latvijas iedzīvotāji;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2</w:t>
      </w:r>
      <w:r w:rsidR="00000000" w:rsidRPr="00000000" w:rsidDel="00000000">
        <w:rPr>
          <w:rtl w:val="0"/>
        </w:rPr>
        <w:t xml:space="preserve">2.2. īstenotie kultūras un kultūrizglītības pasākumi pārsvarā notiek latviešu valodā;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2</w:t>
      </w:r>
      <w:r w:rsidR="00000000" w:rsidRPr="00000000" w:rsidDel="00000000">
        <w:rPr>
          <w:rtl w:val="0"/>
        </w:rPr>
        <w:t xml:space="preserve">2.3. projektā atbalstītā infrastruktūra netiek plaši reklamēta ārpus Latvijas teritorijas, tai skaitā netiek veiktas starptautiskas mārketinga aktivitātes un citas darbības pārrobežu reklāmas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ar 52.</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3</w:t>
      </w:r>
      <w:r w:rsidR="00000000" w:rsidRPr="00000000" w:rsidDel="00000000">
        <w:rPr>
          <w:rtl w:val="0"/>
        </w:rPr>
        <w:t xml:space="preserve"> Sadarbības iestāde saskaņā ar Kultūras ministrijas izstrādāto Komercdarbības atbalsta piemērošanas metodiku nodrošina šo noteikumu 14.13. apakšpunktā minētās profesionālās izglītības iestādes un šo noteikumu 15.1. un 15.2. apakšpunktā minēto profesionālās vidējās kultūrizglītības iestāžu infrastruktūrā veikto investīciju atbilstības uzraudzību atbilstoši šo noteikumu 52.</w:t>
      </w:r>
      <w:r w:rsidR="00000000" w:rsidRPr="00000000" w:rsidDel="00000000">
        <w:rPr>
          <w:vertAlign w:val="superscript"/>
          <w:rtl w:val="0"/>
        </w:rPr>
        <w:t xml:space="preserve">2</w:t>
      </w:r>
      <w:r w:rsidR="00000000" w:rsidRPr="00000000" w:rsidDel="00000000">
        <w:rPr>
          <w:rtl w:val="0"/>
        </w:rPr>
        <w:t xml:space="preserve"> punkta nosacījumiem visā projekta dzīves ciklā. Šo noteikumu 14.13. apakšpunktā minētais sadarbības partneris un šo noteikumu 15.1. un 15.2. apakšpunktā minētie finansējuma saņēmēji visā projekta dzīves ciklā ik gadu sagatavo pārskatu par saimnieciskās darbības apjomu un nodrošina minētā pārskata un aprēķinus pamatojošās dokumentācijas pieejamību saimnieciskās darbības uzraudzībai. Ja šo noteikumu 14.13. apakšpunktā minētais sadarbības partneris un šo noteikumu 15.1. un 15.2. apakšpunktā  minētais finansējuma saņēmējs konstatē, ka ir pārsniegts šo noteikumu 52.</w:t>
      </w:r>
      <w:r w:rsidR="00000000" w:rsidRPr="00000000" w:rsidDel="00000000">
        <w:rPr>
          <w:vertAlign w:val="superscript"/>
          <w:rtl w:val="0"/>
        </w:rPr>
        <w:t xml:space="preserve">2</w:t>
      </w:r>
      <w:r w:rsidR="00000000" w:rsidRPr="00000000" w:rsidDel="00000000">
        <w:rPr>
          <w:rtl w:val="0"/>
        </w:rPr>
        <w:t xml:space="preserve"> punktā  minētais ierobežojums un pašu ieņēmumi projektā atbalstītajā infrastruktūrā ir lielāki par 50 procentiem no projektā atbalstītās infrastruktūras gada budžeta, tas, ievērojot saskaņā ar vienošanos par projekta īstenošanu noteikto termiņu, iesniedz sadarbības iestādē ziņojumu par konstatēto nosacījumu pārkāpumu."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52.</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4</w:t>
      </w:r>
      <w:r w:rsidR="00000000" w:rsidRPr="00000000" w:rsidDel="00000000">
        <w:rPr>
          <w:rtl w:val="0"/>
        </w:rPr>
        <w:t xml:space="preserve"> Ja sadarbības iestāde projekta dzīves cikla laikā konstatē, ka ēkā, ēkas daļā vai ēku grupā, par kuru iesniegts projekta iesniegums, īstenotā saimnieciskā darbība neatbilst šo noteikumu 52.</w:t>
      </w:r>
      <w:r w:rsidR="00000000" w:rsidRPr="00000000" w:rsidDel="00000000">
        <w:rPr>
          <w:vertAlign w:val="superscript"/>
          <w:rtl w:val="0"/>
        </w:rPr>
        <w:t xml:space="preserve">2</w:t>
      </w:r>
      <w:r w:rsidR="00000000" w:rsidRPr="00000000" w:rsidDel="00000000">
        <w:rPr>
          <w:rtl w:val="0"/>
        </w:rPr>
        <w:t xml:space="preserve"> punktā minētajiem nosacījumiem, šo noteikumu 14.13. apakšpunktā minētajam sadarbības partnerim, šo noteikumu 15.1. un 15.2. apakšpunktā minētajam finansējuma saņēmējam ir pienākums atmaksāt sadarbības iestādei saņemto nelikumīgo komercdarbības atbalstu kopā ar procentiem no līdzekļiem, kas brīvi no komercdarbības atbalsta, saskaņā ar Komercdarbības atbalsta kontroles likuma IV vai V nodaļas nosacījumiem."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Melbārde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25-TA-1728</w:t>
    </w:r>
    <w:r>
      <w:br/>
    </w:r>
    <w:r w:rsidR="00000000" w:rsidRPr="00000000" w:rsidDel="00000000">
      <w:rPr>
        <w:rtl w:val="0"/>
      </w:rPr>
      <w:t xml:space="preserve">Izdrukāts 29.07.2026. 23.12 - 1.0.VK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25-TA-1728</w:t>
    </w:r>
    <w:r>
      <w:br/>
    </w:r>
    <w:r w:rsidR="00000000" w:rsidRPr="00000000" w:rsidDel="00000000">
      <w:rPr>
        <w:rtl w:val="0"/>
      </w:rPr>
      <w:t xml:space="preserve">Izdrukāts 29.07.2026. 23.12 - 1.0.VK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noteikumu_(grozījumu)_projekts_25-TA-1728.docx</dc:title>
</cp:coreProperties>
</file>

<file path=docProps/custom.xml><?xml version="1.0" encoding="utf-8"?>
<Properties xmlns="http://schemas.openxmlformats.org/officeDocument/2006/custom-properties" xmlns:vt="http://schemas.openxmlformats.org/officeDocument/2006/docPropsVTypes"/>
</file>