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pirmo un otro daļu un</w:t>
      </w:r>
      <w:r>
        <w:br/>
      </w:r>
      <w:r w:rsidR="00000000" w:rsidRPr="00000000" w:rsidDel="00000000">
        <w:rPr>
          <w:rStyle w:val="paragraph"/>
          <w:i w:val="1"/>
          <w:rtl w:val="0"/>
        </w:rPr>
        <w:t xml:space="preserve">Attīstības finanšu institūcijas likuma </w:t>
      </w:r>
      <w:r w:rsidR="00000000" w:rsidRPr="00000000" w:rsidDel="00000000">
        <w:rPr>
          <w:rStyle w:val="paragraph"/>
          <w:i w:val="1"/>
          <w:rtl w:val="0"/>
        </w:rPr>
        <w:t xml:space="preserve">12. panta</w:t>
      </w:r>
      <w:r w:rsidR="00000000" w:rsidRPr="00000000" w:rsidDel="00000000">
        <w:rPr>
          <w:rStyle w:val="paragraph"/>
          <w:i w:val="1"/>
          <w:rtl w:val="0"/>
        </w:rPr>
        <w:t xml:space="preserve"> </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Atveseļošanas un noturības mehānisma plāna (turpmāk – Atveseļošanas fonds) 2.2. reformu un investīciju virziena “Uzņēmumu digitālā transformācija un inovācijas” 2.2.1.4i. investīcijas  “Finanšu instrumenti  komersantu digitālās transformācijas veicināšanai” (turpmāk – investīcija) mērķi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īstenošanas kārtību un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tai skaitā, tā izlietojuma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nosacījumus 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uzskaiti, neatbalstāmās nozares un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 šo noteikumu izpratnē kombinētais finanšu instruments. To veido sabiedrības “Altum” aizdevums ar kapitāla atlaidi vai paralēlais aizdevums ar kapitāla atlaidi;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finansētājs – kredītiestāde, tās filiāle vai tās meitas sabiedrība, līzinga sabiedrība, kura ir tiesīga sniegt finanšu pakalpojumus Latvijā, ieguldījumu fonds, kas ir tiesīgs sniegts finanšu pakalpojumus Latvijā, starptautiska finanšu institūcija, piemēram, Eiropas Rekonstrukcijas un attīstības banka, Eiropas Investīciju banka, Ziemeļu Investīciju banka, Eiropas Padomes attīstības banka;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aizdevums – akciju sabiedrības “Attīstības finanšu institūcija Altum” (turpmāk – sabiedrība “Altum”) aizdevums, kas izsniegts šajos noteikumos noteiktajā kārtībā un ir vienīgais aizdevums projekta finansēšanas struktūrā, ja projekta finansēšanā nav iesaistīts cits finansētājs. Sabiedrības “Altum” aizdevums ir vismaz kapitāla atlaides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digitālo inovāciju centrs  (turpmāk – EDIC) – Latvijas nacionālās atlases procedūrā izraudzīta kandidātiestāde, kas ir iesniegusi pieteikumu Eiropas Komisijas uzsaukumam par Eiropas Digitālo inovāciju centru izveidi saskaņā ar Eiropas Parlamenta un Padomes 2021. gada 29. aprīļa Regulu Nr. 2021/694, ar ko izveido programmu “Digitālā Eiropa” un atceļ Lēmumu (ES) 2015/2240;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digitālā brieduma tests – EDIC tests, ko komersantam nepieciešams veikt, lai novērtētu nepieciešamos ieguldījumus;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digitālās attīstības ceļa karte – novērtējums, kuru veic EDIC, iekļaujot plānotās aktivitātes atbilstoši šo noteikumu </w:t>
      </w:r>
      <w:r w:rsidR="00000000" w:rsidRPr="00000000" w:rsidDel="00000000">
        <w:rPr>
          <w:rtl w:val="0"/>
        </w:rPr>
        <w:t xml:space="preserve">31.6. </w:t>
      </w:r>
      <w:r w:rsidR="00000000" w:rsidRPr="00000000" w:rsidDel="00000000">
        <w:rPr>
          <w:rtl w:val="0"/>
        </w:rPr>
        <w:t xml:space="preserve">apakšpunktam</w:t>
      </w:r>
      <w:r w:rsidR="00000000" w:rsidRPr="00000000" w:rsidDel="00000000">
        <w:rPr>
          <w:rtl w:val="0"/>
        </w:rPr>
        <w:t xml:space="preserve">, mērķus, uzdevumus, sasniedzamos rezultātus digitālās transformācijas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kapitāla atlaide – sabiedrības “Altum” aizdevuma vai sabiedrības “Altum”  paralēlā aizdevuma pamatsummas pilnīgs vai daļējs samazinājums, kas tiek piemērots izpildoties konkrētiem nosacījumiem vai kritēriju kopai;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piesaistītais privātais finansējums – finansējums, kas projektā ieguldīts, izmantojot komersantu pašu līdzekļus, finansējums, ko sabiedrības “Altum” paralēlā aizdevuma gadījumā piešķīris cits finansētājs, un finansējums, ko sabiedrība “Altum” ir piesaistījusi finanšu instrumenta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pēcnovērtējums – EDIC sagatavots novērtējums, kas apliecina, ka projekta rezultātā komersants izpildījis digitālās attīstības ceļa kartē noteiktos priekšnosacījumus kapitāla atlaides piemērošanai (pozitīvs pēcnovērtējums), vai kurā secināts, ka projekta rezultātā komersants nav izpildījis digitālās attīstības ceļa kartē noteiktos priekšnosacījumus kapitāla atlaides piemērošanai (negatīvs pēcnovērtējums);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paralēlais aizdevums – sabiedrības “Altum” aizdevums, kas tiek piešķirts kopā ar vienu vai vairākiem citiem finansētājiem. Paralēlais aizdevums ir struktūrā subordinēts attiecībā pret cita finansētāja sniegto kredītu vai finanšu līzingu un ir pastiprināts ar zemāku nodrošinājuma kārtu nekā cita finansētāja sniegtais kredīts vai finanšu līzings. Citu finansētāju sniegtā kredīta vai finanšu līzinga apmērs nav mazāks par atbilstoši šiem noteikumiem izsniegtā paralēlā  aizdevuma summu. Paralēlais aizdevums ir vismaz kapitāla atlaides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viens vienots uzņēmums –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minētajos atbalsta piešķiršanas gadījumos attiecas uz atbalsta saņēmēju un ietver visus ar to saistītus  uzņēmumus, kuru starpā pastāv vismaz vienas no  attiecībām, kas minētas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veicināt komersantu digitālo transformāciju, komersantu attīstību un apgrozījuma apjoma pieaugumu, atbalstot uz produktivitātes pieaugumu vērstus ieguldījumus uzņēmējdarbības digitālās transformācijas rīkos.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īsteno atbalsta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mērķa grupa un gala labuma guvēji ir Latvijas Republikas Komercreģistrā reģistrēti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sniedz sabiedrība “Altum”, noslēdzot ar komersantu civiltiesisku līgumu (turpmāk – aizdevuma līgums). 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Investīcijai pieejamais Atveseļošanās fonda finansējums ir 45 143 000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jūnijam Ministru kabinetā apstiprināta investīcija komersantu digitālās transformācijas veicināšanai;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izsniegto aizdevumu skaits – vismaz 34 aizdevumi (rādītājs uzskatāms par izpildītu, kad ir ticis noslēgts aizdevuma līgums);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piesaistītais privātais finansējums – vismaz 13 800 000 euro (rādītājs uzskatāms par izpildītu, kad ir ticis noslēgts aizdevuma līgums);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30. jūnijam izsniegto aizdevumu skaits – vismaz 74 aizdevumi (rādītājs uzskatāms par izpildītu, kad ir ticis noslēgts aizdevuma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izsniegto aizdevumu skaits – 51 aizdevums (rādītājs uzskatāms par izpildītu, kad ir ticis noslēgts aizdevuma līgums);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izsniegto aizdevumu skaits – 133 aizdevumi (rādītājs uzskatāms par izpildītu, kad ir ticis noslēgts aizdevuma līgums);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30. jūnijam  piesaistītais privātais finansējums – 37 000 000 euro (rādītājs uzskatāms par izpildītu, kad ir ticis noslēgts aizdevuma līgums).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Ekonomikas ministrija ir atbildīga par investīcijas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“Altum” un Ekonomikas ministrija slēdz līgumu par šo noteikumu 7. punktā minētā finansējuma pārvaldīšanu, tā piešķiršanas, izlietošanas, uzraudzības kārtību un noteikto rādītāju uzskaiti un ievadīšanu Kohēzijas politikas fondu vadības informācijas sistēmā. Sabiedrība “Altum” ievieš investīciju un piešķir atbalstu saskaņā ar šo noteikumu nosacījumiem un līgumu, kas noslēgts ar Ekonomikas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Ekonomikas ministrijas un sabiedrības “Altum”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līgumā iekļauj informāciju par darbībām lai investīcijas ieviešanas laikā novērstu: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konfliktu, korupciju un krāpšanu;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Ekonomikas ministrija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līgumā iekļauj informāciju par  sasniegto atskaites punktu un mērķu pamatojošās dokumentācijas pārbaudēm, t.sk. datu ticamības pārbaudēm.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nodrošina šo noteikumu </w:t>
      </w:r>
      <w:r w:rsidR="00000000" w:rsidRPr="00000000" w:rsidDel="00000000">
        <w:rPr>
          <w:rtl w:val="0"/>
        </w:rPr>
        <w:t xml:space="preserve">8.1.2.</w:t>
      </w:r>
      <w:r w:rsidR="00000000" w:rsidRPr="00000000" w:rsidDel="00000000">
        <w:rPr>
          <w:rtl w:val="0"/>
        </w:rPr>
        <w:t xml:space="preserve">, </w:t>
      </w:r>
      <w:r w:rsidR="00000000" w:rsidRPr="00000000" w:rsidDel="00000000">
        <w:rPr>
          <w:rtl w:val="0"/>
        </w:rPr>
        <w:t xml:space="preserve">8.1.3.</w:t>
      </w:r>
      <w:r w:rsidR="00000000" w:rsidRPr="00000000" w:rsidDel="00000000">
        <w:rPr>
          <w:shd w:fill="#ffffff" w:val="clear"/>
          <w:rtl w:val="0"/>
        </w:rPr>
        <w:t xml:space="preserve">, </w:t>
      </w:r>
      <w:r w:rsidR="00000000" w:rsidRPr="00000000" w:rsidDel="00000000">
        <w:rPr>
          <w:rtl w:val="0"/>
        </w:rPr>
        <w:t xml:space="preserve">8.1.4.</w:t>
      </w:r>
      <w:r w:rsidR="00000000" w:rsidRPr="00000000" w:rsidDel="00000000">
        <w:rPr>
          <w:rtl w:val="0"/>
        </w:rPr>
        <w:t xml:space="preserve">, </w:t>
      </w:r>
      <w:r w:rsidR="00000000" w:rsidRPr="00000000" w:rsidDel="00000000">
        <w:rPr>
          <w:rtl w:val="0"/>
        </w:rPr>
        <w:t xml:space="preserve">8.2.1.</w:t>
      </w:r>
      <w:r w:rsidR="00000000" w:rsidRPr="00000000" w:rsidDel="00000000">
        <w:rPr>
          <w:rtl w:val="0"/>
        </w:rPr>
        <w:t xml:space="preserve"> ,</w:t>
      </w:r>
      <w:r w:rsidR="00000000" w:rsidRPr="00000000" w:rsidDel="00000000">
        <w:rPr>
          <w:rtl w:val="0"/>
        </w:rPr>
        <w:t xml:space="preserve">8.2.2.</w:t>
      </w:r>
      <w:r w:rsidR="00000000" w:rsidRPr="00000000" w:rsidDel="00000000">
        <w:rPr>
          <w:rtl w:val="0"/>
        </w:rPr>
        <w:t xml:space="preserve"> un </w:t>
      </w:r>
      <w:r w:rsidR="00000000" w:rsidRPr="00000000" w:rsidDel="00000000">
        <w:rPr>
          <w:rtl w:val="0"/>
        </w:rPr>
        <w:t xml:space="preserve">8.2.3.</w:t>
      </w:r>
      <w:r w:rsidR="00000000" w:rsidRPr="00000000" w:rsidDel="00000000">
        <w:rPr>
          <w:rtl w:val="0"/>
        </w:rPr>
        <w:t xml:space="preserve"> apakšpunktos noteikto rādītāju uzskaiti un ievadīšanu Kohēzijas politikas fondu vadības informācijas sistēmā šajos apakšpunktos norādīto termiņu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Izmantojot investīcijas ietvaros atmaksāto publisko finansējumu (klientu maksājumus no aizdevumiem),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turpināt atbalsta sniegšanu, t.sk., riska segumam,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investīcijas īstenošanas laikā un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segt programmas pārvaldības maksu saskaņā ar programmas rādītāju novērtējumu, kas veikts saskaņā ar Attīstības finanšu institūcijas likuma </w:t>
      </w:r>
      <w:r w:rsidR="00000000" w:rsidRPr="00000000" w:rsidDel="00000000">
        <w:rPr>
          <w:rtl w:val="0"/>
        </w:rPr>
        <w:t xml:space="preserve">12. panta</w:t>
      </w:r>
      <w:r w:rsidR="00000000" w:rsidRPr="00000000" w:rsidDel="00000000">
        <w:rPr>
          <w:rtl w:val="0"/>
        </w:rPr>
        <w:t xml:space="preserve">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Visā investīcijas īstenošanas laikā un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pieejamā finansējuma izlietojuma sniegt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minētajā gadījumā), t.sk., riska segumam, saskaņā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finansējumu izmanto: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sagaidāmo kredītriska zaudējumu segšanai (tiek izmantots pirmo zaudējumu segšanai no neatgūtajiem aizdevumiem) un kapitāla atlaides segšanai. Turpmākos zaudējumus, kas pārsniedz pirmo zaudējumu apmēru, kas ir noteikts procentuāli no kopējās izsniegto paralēlo aizdevumu summas, pamatojoties uz programmas rādītāju novērtējumu atbilstoši Attīstības finanšu institūcijas likuma 12. panta trešajai daļai, sedz no sabiedrības “Altum” pašu finansējuma. Sabiedrībai “Altum” ir tiesības atteikties no turpmākās aizdevumu piešķiršanas, ja faktiskie un prognozētie zaudējumi pārsniedz pieejamo publisko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finansējumu sabiedrības “Altum” aizdevuma vai paralēlā aizdevuma piešķiršanai tā daļā, kas pārsniedz projektam pieejamo kapitāla atlaides apmēru, kā arī, lai sniegtu </w:t>
      </w:r>
      <w:r w:rsidR="00000000" w:rsidRPr="00000000" w:rsidDel="00000000">
        <w:rPr>
          <w:i w:val="1"/>
          <w:rtl w:val="0"/>
        </w:rPr>
        <w:t xml:space="preserve">de minimis</w:t>
      </w:r>
      <w:r w:rsidR="00000000" w:rsidRPr="00000000" w:rsidDel="00000000">
        <w:rPr>
          <w:rtl w:val="0"/>
        </w:rPr>
        <w:t xml:space="preserve"> atbalstu ar mērķi uzlabot komersanta naudas plūsmu un likviditātes pozīciju (t.i. pievienotās vērtības nodokļa priekšfinansēšanai un  </w:t>
      </w:r>
      <w:r w:rsidR="00000000" w:rsidRPr="00000000" w:rsidDel="00000000">
        <w:rPr>
          <w:rtl w:val="0"/>
        </w:rPr>
        <w:t xml:space="preserve">39.2. </w:t>
      </w:r>
      <w:r w:rsidR="00000000" w:rsidRPr="00000000" w:rsidDel="00000000">
        <w:rPr>
          <w:rtl w:val="0"/>
        </w:rPr>
        <w:t xml:space="preserve">apakšpunktā</w:t>
      </w:r>
      <w:r w:rsidR="00000000" w:rsidRPr="00000000" w:rsidDel="00000000">
        <w:rPr>
          <w:rtl w:val="0"/>
        </w:rPr>
        <w:t xml:space="preserve"> minētajā gadījumā), sabiedrība “Altum” var piesaistīt valsts aizdevumu kredītlīnijas veidā vai piesaistīt finansējumu tirgū, tai skaitā aizņemoties finansējumu no starptautiskajām finanšu institūcijām līdz 69 000 000 euro apmērā. Valsts aizdevuma atmaksas termiņš ir līdz 2049. gada 31. decembrim. Valsts aizdevumam nepiemēro riska likmi un to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Atbalstu sniedz kā reģionālo atbalstu saskaņā ar Komisijas regulas Nr. 651/2014 14. pantu.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Atbalsts tiek sniegts projektu īstenošanai Latvijas Republikas teritorijā. Atbalstītajiem projektiem jābūt saistītiem ar investīcijas mērķi.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pieteiktos atbalsta saņemšanai, komersants ir veicis digitālā brieduma testu un saņēmis digitālās attīstības ceļa karti, saskaņā ar kuru var tikt veikti tālāki ieguldījumi uzņēmuma digitālās transformācijas attīstībā šo noteikumu ietvaros, kā arī pēc projekta īstenošanas veikts pēcnovērtējums digitālās attīstības ceļa kartē, kas apliecina, ka projekta rezultātā uzņēmums izpildījis priekšnosacījumus un tam var tikt piemērota kapitāla atlaide.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Komersants, iesniedzot projekta pieteikumu sabiedrībā “Altum”, piesakās atbalstam.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Komersantam atbalstu piešķir brīdī, kad sabiedrība “Altum” pieņem lēmumu par aizdevuma vai paralēlā aizdevuma piešķiršanu, kurā ir noteikts atbalsta maksimālais apjoms, atbalsta intensitāte un maksimālā pieejamā kapitāla atlaide. Uz atbalsta piešķiršanas brīdi ir novērtēta komersanta atbilstība šajos noteikumos minētajiem nosacījumiem atbilstoši atbalstam, kas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vai atbalstam, kas tiek sniegts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pieņem lēmumu par atbalsta piešķiršanu, pamatojoties uz: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iesniegto projekta pieteikumu, kurā, t.sk., ietverts biznesa projekta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digitālās attīstības ceļa karti;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komersanta parakstītu apliecinājumu par projektā paredzēto darbību atbilstību nenodarīt būtisku kaitējumu principiem;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 parakstītu apliecinājumu par projektā paredzēto darbību atbilstību nacionālajiem un Eiropas Savienības tiesību aktiem vides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attiecināms – komersanta parakstītu apliecinājumu par projektā paredzēto darbību atbilstību Eiropas Savienības Emisijas kvotu tirdzniecības sistēmai (turpmāk – ES ETS), lai sasniegtu prognozētās CO2 emisijas, kas ir zemākas par attiecīgajiem bezmaksas kvotu piešķiršanas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 komersanta parakstītu apliecinājumu, ka tas nav veicis un neveiks Komisijas regulas Nr. 651/2014 14. panta 16. punktā norādītās darbības, kuras definētas Komisijas regulas Nr. 651/2014 2. panta 61.a apakšpunktā, un ka uz to neattiecas Komisijas regulas Nr. 651/2014 14. panta 17. punktā minētais nosacījums;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 komersanta parakstītu apliecinājumu, ka uz uzņēmumu nav attiecināma Komisijas regulas Nr. 651/2014 2. panta 18. punkta “c” apakšpunktā minētā situācija – tam netiek piemērota kolektīva maksātnespējas procedūra, un tas neatbilst Latvijas Republikas tiesību aktos noteiktajiem kritērijiem, lai tam pēc kreditoru pieprasījuma piemērotu kolektīvu maksātnespējas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gadījumā – komersanta parakstītu apliecinājumu, ka tam netiek piemērota kolektīva maksātnespējas procedūra, vai tas neatbilst savas valsts tiesību aktos noteiktiem kritērijiem, lai tam pēc kreditoru pieprasījuma piemērotu kolektīvu maksātnespējas procedūru ievērošanai;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sabiedrības “Altum” pieprasīto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Sabiedrība “Altum” finansē tikai tādas darbības, kuras ir atzinusi par ekonomiski dzīvotspējīgām, tai skaitā, izvērtē komersanta investīciju projekta ilgtspēju, projekta īstenošanai nepieciešamo līdzfinansējumu, nodrošinājuma pietiekamību, komersanta esošo un nākotnes finanšu situāciju, zināšanu un pieredzes atbilstību projektā paredzēto darbību veiksmīgai īstenošanai, kā arī analizē identificētos uzņēmējdarbības riskus un citus faktorus komersanta aizdevuma kvalitātes noteikšanai.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Sabiedrībai “Altum” ir tiesības bez maksas pieprasīt un saņemt tiešu pieeju datiem valsts informācijas sistēmās tādā apjomā, kāds nepieciešams investīcijas īstenošanai un atbalsta sniegšanai komersantiem šo noteikumu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Sabiedrība “Altum” kapitāla atlaidi piemēro, pamatojoties uz pozitīvu pēcnovērtējumu.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Paralēlā aizdevuma procentu likmi pielīdzina cita finansētāja kredīta likmei: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paralēlais aizdevums atbilst kapitāla atlaides apmēram;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 tā nav mazāka kā likme, ko veido 2,5 % un resursu cena, ja paralēlais aizdevums pārsniedz kapitāla atlaides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Atbalstam, kas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maksimāli pieļaujamā atbalsta intensitāte no projekta attiecināmām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reģionā ir 30 % (lielajiem komersantiem) vai 40 % (vidējiem komersantiem), vai 50 % (sīkajiem (mikro) vai mazajiem komersantiem) no attiecināmām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reģionā ir 40 % (lielajiem komersantiem) vai 50 % (vidējiem komersantiem), vai 60 % (sīkajiem (mikro) vai mazajiem komersantiem) no attiecināmām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Atbilstoši Komisijas regulas Nr. 651/2014 14. panta 13. punktam ikvienu sākotnējo ieguldījumu, kuru tas pats saņēmējs (grupas līmenī) ir sācis triju gadu laikā no dienas, kad sākti darbi pie cita atbalstītā ieguldījuma tajā pašā Statistiski teritoriālo vienību nomenklatūras 3. līmeņa reģionā, uzskata par daļu no vienota ieguldījumu projekta. Ja šis vienotais ieguldījumu projekts ir liels ieguldījumu projekts saskaņā ar Komisijas regulas Nr. 651/2014 2. panta 52. punktu, atbalsta kopsumma vienotajam ieguldījumu projektam nepārsniedz lieliem ieguldījumu projektiem noteikto koriģēto atbalsta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Rīgā un Pierīgas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euro piemēro 30 %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euro piemēro 15 %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euro, piemēro 0 % no attiecināmo izmaksu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Zemgales, Vidzemes un Latgales reģionā: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līdz 50 miljoniem euro piemēro 40 %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daļai no 50 līdz 100 miljoniem euro piemēro 20 % no attiecināmo izmaksu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daļai, kas pārsniedz 100 miljonus euro, piemēro 0 % no attiecināmo izmaksu summas.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 kas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atbilstoši Komisijas regulas Nr. 651/2014 14. panta 14. punktam, nodrošina līdzfinansējumu vismaz 25 % apmērā no projekta attiecināmajām izmaksām, izmantojot pašu līdzekļus vai ārējo finansējumu, tai skaitā cita finansētāja izsniegtu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651/2014 14. panta 7. punktam: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atbalstu, ko piešķir lieliem komersantiem būtiskām pārmaiņām ražošanas procesā, attiecināmajām izmaksām jābūt lielākām nekā ar modernizējamo darbību saistīto aktīvu amortizācijai iepriekšējo triju fiskālo gadu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atbalstu, ko piešķir lieliem komersantiem esošas uzņēmējdarbības vietas darbības dažādošanai, attiecināmajām izmaksām vismaz par 200 % jāpārsniedz atkārtoti izmantoto aktīvu uzskaites vērtība, kas reģistrēta iepriekšējā fiskālajā gadā pirms darbu sākšanas.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izpratnē atbalstu var piešķirt komersantam, kas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reģistrēts Latvijas Republikas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komersants, kas atbilst Komisijas regulas Nr. 651/2014 2. panta 24. punktā noteiktajai definīcijai, vai vidējais komersants, kas atbilst Komisijas regulas Nr. 651/2014 I pielikuma 2. panta 1. punktā noteiktajiem kritērijiem un pārsniedz Komisijas regulas Nr. 651/2014 I pielikuma 2. panta 2. punktā noteiktos kritērijus; vai mazais komersants, kas atbilst Komisijas regulas Nr. 651/2014 I pielikuma 2. panta 2. punktā noteiktajiem kritērijiem, vai sīkais (mikro) komersants, kas atbilst Komisijas regulas Nr. 651/2014 I pielikuma 2. panta 3. punktā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pieejamo informāciju nav nodokļu vai nodevu parādu, kas kopsummā pārsniedz 1000 euro, izņemot nodokļu maksājumus, kuru segšanai ir piešķirts samaksas termiņa pagarinājums, ir noslēgta vienošanās par labprātīgu nodokļu samaksu vai noslēgts vienošanās līgums. Nosacījumu pārbauda līdz aizdevuma izsniegšanas uzsākšanai;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finansējama projekta gadījumā, tas nav uzskatāms par grūtībās nonākušu uzņēmumu saskaņā ar Komisijas regulas Nr. 651/2014 2. panta 18. punktu, izņemot Komisijas regulas Nr.  651/2014 1. panta 4. punkta “c” apakšpunktā minēto izņēmumu;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finansējama projekta gadījumā, uz to neattiecas līdzekļu atgūšanas rīkojums saskaņā ar Komisijas regulas Nr. 651/2014 1. panta 4. punkta “a”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atbalsts tiek sniegts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atbalstāmi ir ieguldījumi materiālajos aktīvos (saskaņā ar Komisijas regulas Nr. 651/2014 2. panta 29. punktu) un nemateriālajos aktīvos (saskaņā ar Komisijas regulas Nr. 651/2014 2. panta 30. punktu),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attiecināmās izmaksas ir sākotnējie ieguldījumi saskaņā ar Komisijas regulas Nr. 651/2014 2. panta 49. punkta "a"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aktīvi ir jauni (izņemot, ja aktīvus iegādājas vidējais, mazais vai sīkais (mikro) komersants), atbilstoši Komisijas regulas Nr. 651/2014 14. panta 6. punktā minētajiem nosacījumiem. Aktīvi nav iegādāti no ar komersantu saistītām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materiālo aktīvu nomu saistītās izmaksas ir attiecināmas, ja ir ievēroti Komisijas regulas Nr. 651/2014 14. panta 6. punktā minētie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nemateriālo aktīvu lietošanas tiesību iegūšanu saistītās izmaksas ir attiecināmas;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nemateriālie aktīvi atbilst Komisijas regulas Nr. 651/2014 14. panta 8. punktā minētajiem nosacījumiem. Lielajiem komersantiem nemateriālos aktīvus var finansēt līdz 50 % no sākotnējo ieguldījumu kopējām attiecināmajām ieguldījumu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izmanto projekta attiecināmām izmaksām, kas saistītas ar komersanta digitālo transformāciju šādos procesos: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tradicionālo procesu digitalizācija;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industrijas 4.0 risinājumu (automatizētas iekārtas, robotu risinājumi, sensoru tīkli un sakaru tehnoloģijas, mākslīgā intelekta risinājumu tehnoloģijas un citi investīcijas mērķim atbilstoši risinājumi, izmantojot informācijas un komunikācijas tehnoloģijas (turpmāk – IKT)), iegāde un ieviešana (paredzot gan nepieciešamo iekārtas, gan programmatūras komponenti) atbilstoši uzņēmuma pamatdarbības specifikai;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5G tīklā funkcionējošu sistēmu un iekārtu iegāde;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uzglabāšanas risinājumi;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procesu digitalizācijai nepieciešamo esošo ražošanas un citu iekārtu atjaunošana un efektivizēšana un jaunu iekārtu iegāde;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jaunu iekārtu iegāde IKT jomā, kas saistīts ar IKT produktu lietošanu ražošanas procesā;  </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vienā platformā darbojošos risinājumu vai sistēmu darbību izveide un nodrošināšana (platformu ekonomika).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atbalstu neizmanto šādām izmaksām un tās neiekļauj projekta attiecināmās izmaksās: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biroja tehnikas/datortehnikas iegāde;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programmu papildināšana ar jaunu funkcionalitāti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esošās programmatūras pielāgošana;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lietotāja dokumentācijas sagatavošana;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pievienotās vērtības nodokļa segšana, izņemot kā </w:t>
      </w:r>
      <w:r w:rsidR="00000000" w:rsidRPr="00000000" w:rsidDel="00000000">
        <w:rPr>
          <w:i w:val="1"/>
          <w:rtl w:val="0"/>
        </w:rPr>
        <w:t xml:space="preserve">de minimis</w:t>
      </w:r>
      <w:r w:rsidR="00000000" w:rsidRPr="00000000" w:rsidDel="00000000">
        <w:rPr>
          <w:rtl w:val="0"/>
        </w:rPr>
        <w:t xml:space="preserve"> atbalstu no programmas finansējuma, kas minēts šo noteikumu 16.punktā;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apgrozāmie līdzekļi, izņemot kā </w:t>
      </w:r>
      <w:r w:rsidR="00000000" w:rsidRPr="00000000" w:rsidDel="00000000">
        <w:rPr>
          <w:i w:val="1"/>
          <w:rtl w:val="0"/>
        </w:rPr>
        <w:t xml:space="preserve">de minimis </w:t>
      </w:r>
      <w:r w:rsidR="00000000" w:rsidRPr="00000000" w:rsidDel="00000000">
        <w:rPr>
          <w:rtl w:val="0"/>
        </w:rPr>
        <w:t xml:space="preserve">atbalstu no programmas finansējuma, kas minēts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šo noteikumu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minētajā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iegāde;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būvniecības izmaksas, ja vien tās nav minimālās nepieciešamas būvniecības izmaksas projektā iegādāto iekārtu uzstādīšanai.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 </w:t>
      </w:r>
      <w:r w:rsidR="00000000" w:rsidRPr="00000000" w:rsidDel="00000000">
        <w:rPr>
          <w:rtl w:val="0"/>
        </w:rPr>
        <w:t xml:space="preserve">apakšpunkts</w:t>
      </w:r>
      <w:r w:rsidR="00000000" w:rsidRPr="00000000" w:rsidDel="00000000">
        <w:rPr>
          <w:rtl w:val="0"/>
        </w:rPr>
        <w:t xml:space="preserve"> un </w:t>
      </w:r>
      <w:r w:rsidR="00000000" w:rsidRPr="00000000" w:rsidDel="00000000">
        <w:rPr>
          <w:rtl w:val="0"/>
        </w:rPr>
        <w:t xml:space="preserve">31.7. </w:t>
      </w:r>
      <w:r w:rsidR="00000000" w:rsidRPr="00000000" w:rsidDel="00000000">
        <w:rPr>
          <w:rtl w:val="0"/>
        </w:rPr>
        <w:t xml:space="preserve">apakšpunkts</w:t>
      </w:r>
      <w:r w:rsidR="00000000" w:rsidRPr="00000000" w:rsidDel="00000000">
        <w:rPr>
          <w:rtl w:val="0"/>
        </w:rPr>
        <w:t xml:space="preserve"> attiecas arī uz atbalstu, ko sniedz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saņemtu atbalstu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ietvaros, komersantam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sniegtajam atbalstam ir stimulējoša ietekme atbilstoši Komisijas regulas Nr. 651/2014 6. panta 2. punktā minētajām pazīmēm: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pieteikums ir iesniegts pirms darbu uzsākšanas projektā;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piesaista citu publisko finansējumu, darbu ar projektu var uzsākt tad, kad visās iestādēs, kur pretendē uz atbalstu, ir iesniegts pieteikums un ir pieņemts lēmums par atbalsta piešķiršanu vai noslēgts līgums, ja atbalstu nepiešķir ar lēmumu, atbilstoši Komisijas regulas Nr. 651/2014 6. panta 2. punktam;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sākotnējie ieguldījumi pēc projekta pabeigšanas paliek Latvijas Republikā attiecīgajā NUTS 3 reģionā, kurā tiek īstenots atbalstāmais projekts vismaz piecus gadus (lielajiem komersantiem) vai trīs gadus (maziem, sīkajiem (mikro) vai vidējiem komersantiem) atbilstoši Komisijas regulas Nr. 651/2014 14. panta 5. 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tiek pārkāptas Komisijas regulas Nr. 651/2014 prasības, atbalsta saņēmējam ir pienākums atmaksāt sabiedrībai “Altum” visu projekta ietvaros saņemto nelikumīgo komercdarbības atbalstu, kas sniegts saskaņā ar Komisijas regulu Nr. 651/2014 atbilstoši Komercdarbības atbalsta kontroles likuma IV un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atbalstu nevar sniegt kā reģionālo atbalstu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tad atbalstu sniedz kā </w:t>
      </w:r>
      <w:r w:rsidR="00000000" w:rsidRPr="00000000" w:rsidDel="00000000">
        <w:rPr>
          <w:i w:val="1"/>
          <w:rtl w:val="0"/>
        </w:rPr>
        <w:t xml:space="preserve">de minimis </w:t>
      </w:r>
      <w:r w:rsidR="00000000" w:rsidRPr="00000000" w:rsidDel="00000000">
        <w:rPr>
          <w:rtl w:val="0"/>
        </w:rPr>
        <w:t xml:space="preserve">atbalstu saskaņā ar Komisijas regulu Nr. 1407/2013.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atbalstu sniedz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jāievēro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aizdevumu vai paralēlo aizdevumu nepiešķir Komisijas regulas Nr. 1407/2013 1. pantā noteiktajām nozarēm un darbībām, kā arī šo noteikumu </w:t>
      </w:r>
      <w:r w:rsidR="00000000" w:rsidRPr="00000000" w:rsidDel="00000000">
        <w:rPr>
          <w:rtl w:val="0"/>
        </w:rPr>
        <w:t xml:space="preserve">50.1.</w:t>
      </w:r>
      <w:r w:rsidR="00000000" w:rsidRPr="00000000" w:rsidDel="00000000">
        <w:rPr>
          <w:rtl w:val="0"/>
        </w:rPr>
        <w:t xml:space="preserve">, </w:t>
      </w:r>
      <w:r w:rsidR="00000000" w:rsidRPr="00000000" w:rsidDel="00000000">
        <w:rPr>
          <w:rtl w:val="0"/>
        </w:rPr>
        <w:t xml:space="preserve">50.2.</w:t>
      </w:r>
      <w:r w:rsidR="00000000" w:rsidRPr="00000000" w:rsidDel="00000000">
        <w:rPr>
          <w:rtl w:val="0"/>
        </w:rPr>
        <w:t xml:space="preserve">, </w:t>
      </w:r>
      <w:r w:rsidR="00000000" w:rsidRPr="00000000" w:rsidDel="00000000">
        <w:rPr>
          <w:rtl w:val="0"/>
        </w:rPr>
        <w:t xml:space="preserve">50.3.</w:t>
      </w:r>
      <w:r w:rsidR="00000000" w:rsidRPr="00000000" w:rsidDel="00000000">
        <w:rPr>
          <w:rtl w:val="0"/>
        </w:rPr>
        <w:t xml:space="preserve">, </w:t>
      </w:r>
      <w:r w:rsidR="00000000" w:rsidRPr="00000000" w:rsidDel="00000000">
        <w:rPr>
          <w:rtl w:val="0"/>
        </w:rPr>
        <w:t xml:space="preserve">50.4.</w:t>
      </w:r>
      <w:r w:rsidR="00000000" w:rsidRPr="00000000" w:rsidDel="00000000">
        <w:rPr>
          <w:rtl w:val="0"/>
        </w:rPr>
        <w:t xml:space="preserve">, </w:t>
      </w:r>
      <w:r w:rsidR="00000000" w:rsidRPr="00000000" w:rsidDel="00000000">
        <w:rPr>
          <w:rtl w:val="0"/>
        </w:rPr>
        <w:t xml:space="preserve">50.5.</w:t>
      </w:r>
      <w:r w:rsidR="00000000" w:rsidRPr="00000000" w:rsidDel="00000000">
        <w:rPr>
          <w:rtl w:val="0"/>
        </w:rPr>
        <w:t xml:space="preserve">, </w:t>
      </w:r>
      <w:r w:rsidR="00000000" w:rsidRPr="00000000" w:rsidDel="00000000">
        <w:rPr>
          <w:rtl w:val="0"/>
        </w:rPr>
        <w:t xml:space="preserve">50.6.</w:t>
      </w:r>
      <w:r w:rsidR="00000000" w:rsidRPr="00000000" w:rsidDel="00000000">
        <w:rPr>
          <w:rtl w:val="0"/>
        </w:rPr>
        <w:t xml:space="preserve">, </w:t>
      </w:r>
      <w:r w:rsidR="00000000" w:rsidRPr="00000000" w:rsidDel="00000000">
        <w:rPr>
          <w:rtl w:val="0"/>
        </w:rPr>
        <w:t xml:space="preserve">50.7.</w:t>
      </w:r>
      <w:r w:rsidR="00000000" w:rsidRPr="00000000" w:rsidDel="00000000">
        <w:rPr>
          <w:rtl w:val="0"/>
        </w:rPr>
        <w:t xml:space="preserve">, </w:t>
      </w:r>
      <w:r w:rsidR="00000000" w:rsidRPr="00000000" w:rsidDel="00000000">
        <w:rPr>
          <w:rtl w:val="0"/>
        </w:rPr>
        <w:t xml:space="preserve">50.8.</w:t>
      </w:r>
      <w:r w:rsidR="00000000" w:rsidRPr="00000000" w:rsidDel="00000000">
        <w:rPr>
          <w:rtl w:val="0"/>
        </w:rPr>
        <w:t xml:space="preserve">, </w:t>
      </w:r>
      <w:r w:rsidR="00000000" w:rsidRPr="00000000" w:rsidDel="00000000">
        <w:rPr>
          <w:rtl w:val="0"/>
        </w:rPr>
        <w:t xml:space="preserve">50.9.</w:t>
      </w:r>
      <w:r w:rsidR="00000000" w:rsidRPr="00000000" w:rsidDel="00000000">
        <w:rPr>
          <w:rtl w:val="0"/>
        </w:rPr>
        <w:t xml:space="preserve">, </w:t>
      </w:r>
      <w:r w:rsidR="00000000" w:rsidRPr="00000000" w:rsidDel="00000000">
        <w:rPr>
          <w:rtl w:val="0"/>
        </w:rPr>
        <w:t xml:space="preserve">50.10.</w:t>
      </w:r>
      <w:r w:rsidR="00000000" w:rsidRPr="00000000" w:rsidDel="00000000">
        <w:rPr>
          <w:rtl w:val="0"/>
        </w:rPr>
        <w:t xml:space="preserve">, </w:t>
      </w:r>
      <w:r w:rsidR="00000000" w:rsidRPr="00000000" w:rsidDel="00000000">
        <w:rPr>
          <w:rtl w:val="0"/>
        </w:rPr>
        <w:t xml:space="preserve">50.11.</w:t>
      </w:r>
      <w:r w:rsidR="00000000" w:rsidRPr="00000000" w:rsidDel="00000000">
        <w:rPr>
          <w:rtl w:val="0"/>
        </w:rPr>
        <w:t xml:space="preserve">, </w:t>
      </w:r>
      <w:r w:rsidR="00000000" w:rsidRPr="00000000" w:rsidDel="00000000">
        <w:rPr>
          <w:rtl w:val="0"/>
        </w:rPr>
        <w:t xml:space="preserve">50.12.</w:t>
      </w:r>
      <w:r w:rsidR="00000000" w:rsidRPr="00000000" w:rsidDel="00000000">
        <w:rPr>
          <w:rtl w:val="0"/>
        </w:rPr>
        <w:t xml:space="preserve">, </w:t>
      </w:r>
      <w:r w:rsidR="00000000" w:rsidRPr="00000000" w:rsidDel="00000000">
        <w:rPr>
          <w:rtl w:val="0"/>
        </w:rPr>
        <w:t xml:space="preserve">50.13.</w:t>
      </w:r>
      <w:r w:rsidR="00000000" w:rsidRPr="00000000" w:rsidDel="00000000">
        <w:rPr>
          <w:rtl w:val="0"/>
        </w:rPr>
        <w:t xml:space="preserve"> un </w:t>
      </w:r>
      <w:r w:rsidR="00000000" w:rsidRPr="00000000" w:rsidDel="00000000">
        <w:rPr>
          <w:rtl w:val="0"/>
        </w:rPr>
        <w:t xml:space="preserve">50.14. </w:t>
      </w:r>
      <w:r w:rsidR="00000000" w:rsidRPr="00000000" w:rsidDel="00000000">
        <w:rPr>
          <w:rtl w:val="0"/>
        </w:rPr>
        <w:t xml:space="preserve">apakšpunktos</w:t>
      </w:r>
      <w:r w:rsidR="00000000" w:rsidRPr="00000000" w:rsidDel="00000000">
        <w:rPr>
          <w:rtl w:val="0"/>
        </w:rPr>
        <w:t xml:space="preserve">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nodrošina darbības vai izmaksu nošķiršanu saskaņā ar Komisijas regulas Nr. 1407/2013 1. panta 2. punktu, ja komersants vienlaikus darbojas saskaņā ar šiem noteikumiem atbalstāmajās un neatbalstāmajās nozarēs;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lielajiem komersantiem tā kredītreitings ir zemāks par "B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tiek pārkāptas Komisijas regulas Nr. 1407/2013 prasības, atbalsta saņēmējam ir pienākums atmaksāt sabiedrībai “Altum” visu projekta ietvaros saņemto komercdarbības atbalstu, kas sniegts saskaņā ar Komisijas regulu Nr.1407/2013, atbilstoši Komercdarbības atbalsta kontroles likuma IV un V nodaļas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saņemtu atbalstu, komersants sabiedrībā “Altum” iesniedz informāciju par iepriekš saņemto </w:t>
      </w:r>
      <w:r w:rsidR="00000000" w:rsidRPr="00000000" w:rsidDel="00000000">
        <w:rPr>
          <w:i w:val="1"/>
          <w:rtl w:val="0"/>
        </w:rPr>
        <w:t xml:space="preserve">de 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euro atbilstoši Komisijas regulas Nr. 1407/2013 3. panta 2. punktam, kā arī ievērojot Komisijas regulas Nr. 1407/2013 8. panta nosacījumus uzņēmumu apvienošanās vai iegādes gadījumā un Komisijas regulas Nr. 1407/2013 9. panta nosacījumus uzņēmuma sadalīšanas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aizdevumam vai paralēlam aizdevumam nepiešķir un nepiemēro kapitāla atlaidi, ja tā pārsniedz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noteiktos limitus.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Kārtība un nosacījumi, lai pieteiktos atbalstam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Sabiedrība “Altum” piešķir aizdevumu vai paralēlo aizdevumu atbilstoši šajos noteikumos minētajiem nosacījumiem un savai risku pārvaldības politikai.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Sabiedrības “Altum” aizdevuma vai paralēlā aizdevuma minimālā summa komersantam ir 100 000 </w:t>
      </w:r>
      <w:r w:rsidR="00000000" w:rsidRPr="00000000" w:rsidDel="00000000">
        <w:rPr>
          <w:i w:val="1"/>
          <w:rtl w:val="0"/>
        </w:rPr>
        <w:t xml:space="preserve">euro </w:t>
      </w:r>
      <w:r w:rsidR="00000000" w:rsidRPr="00000000" w:rsidDel="00000000">
        <w:rPr>
          <w:rtl w:val="0"/>
        </w:rPr>
        <w:t xml:space="preserve">un maksimālā summa 7 000 000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Sabiedrība “Altum” piešķirtā aizdevuma vai paralēlā aizdevuma termiņu nosaka, ņemot vērā komersanta nozares specifiku, ekonomisko ciklu, aizdevuma  izmantošanas mērķi un iegādājamo aktīvu lietderīgo kalpošanas laiku un amortizācijas termiņu. Sabiedrības “Altum” aizdevuma vai paralēlā aizdevuma, t.sk., tā pagarinājuma (ja attiecināms) termiņš nepārsniedz 10 gadus.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Sabiedrības “Altum” aizdevuma vai paralēlā aizdevuma termiņa pagarinājums ir iespējams, nepārsniedzot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 maksimālo aizdevuma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netiek pārsniegts sākotnēji piešķirtais valsts atbalsta apmērs;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jauns atbalsts atbilstoši šo noteikumu </w:t>
      </w:r>
      <w:r w:rsidR="00000000" w:rsidRPr="00000000" w:rsidDel="00000000">
        <w:rPr>
          <w:rtl w:val="0"/>
        </w:rPr>
        <w:t xml:space="preserve">34.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Sabiedrības “Altum” aizdevuma vai paralēlā aizdevuma pamatsummas atmaksu komersants uzsāk veikt: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aizdevumam vai paralēlam aizdevumam, kas ir vienāds ar kapitāla atlaidi, vai tā daļai, kas ir kapitāla atlaides apjomā, ne vēlāk kā astoņu mēnešu laikā pēc projekta pabeigšanas, ja nav saņemts nekāds pēcnovērtējums, vai, ja saņemts negatīvs pēcnovērtējums. Komersanta nomaksāto sabiedrības “Altum” aizdevuma vai paralēlā aizdevuma pamatsummas daļu līdz brīdim, kad saņemts pozitīvs pēcnovērtējums, komersantam neatgriež un par šo summu tiek samazināta projektam pieejamā kapitāla atlaide;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aizdevuma vai paralēlā aizdevuma daļai, kas pārsniedz kapitāla atlaides apjomu, saskaņā ar grafiku. Ja ir pamatoti apstākļi, pamatsummas atmaksas uzsākšanas termiņu var atlikt uz laiku līdz 12 mēnešiem.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Kapitāla atlaide ir līdz 35 %: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sabiedrības “Altum” paralēlā aizdevuma  un cita finansētāja sniegtā kredīta kopsummas, bet ne vairāk kā 1 000 000 euro,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investīciju projekta kopējā apjoma sabiedrības “Altum” aizdevuma gadījumā, bet ne vairāk kā 1 000 000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Sabiedrības “Altum” aizdevumam vai paralēlam aizdevumam kapitāla atlaidi piemēro, ja komersants: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izmantojis aizdevumu vai paralēlo aizdevumu noteiktajam mērķim un realizējis projektu, saskaņā ar pieteikumā norādīto informāciju par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6 mēnešu laikā pēc projekta pabeigšanas iesniedzis pozitīvu pēcnovērtējumu;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iesniedzis šo noteikumu </w:t>
      </w:r>
      <w:r w:rsidR="00000000" w:rsidRPr="00000000" w:rsidDel="00000000">
        <w:rPr>
          <w:rtl w:val="0"/>
        </w:rPr>
        <w:t xml:space="preserve">42.1.</w:t>
      </w:r>
      <w:r w:rsidR="00000000" w:rsidRPr="00000000" w:rsidDel="00000000">
        <w:rPr>
          <w:rtl w:val="0"/>
        </w:rPr>
        <w:t xml:space="preserve"> un </w:t>
      </w:r>
      <w:r w:rsidR="00000000" w:rsidRPr="00000000" w:rsidDel="00000000">
        <w:rPr>
          <w:rtl w:val="0"/>
        </w:rPr>
        <w:t xml:space="preserve">42.2. </w:t>
      </w:r>
      <w:r w:rsidR="00000000" w:rsidRPr="00000000" w:rsidDel="00000000">
        <w:rPr>
          <w:rtl w:val="0"/>
        </w:rPr>
        <w:t xml:space="preserve">apakšpunktos</w:t>
      </w:r>
      <w:r w:rsidR="00000000" w:rsidRPr="00000000" w:rsidDel="00000000">
        <w:rPr>
          <w:rtl w:val="0"/>
        </w:rPr>
        <w:t xml:space="preserve"> minēto apstākļu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saņemts negatīvs pēcnovērtējums vai pēcnovērtējums par projektu netiek iesniegts sabiedrībā “Altum”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noteiktā termiņa ietvaros, kapitāla atlaide netiek piemērota.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Komersants nodrošina vizuālās identitātes prasības atbilstoši Eiropas Parlamenta un Padomes (ES) 2021.gada 12. februāra Regulā Nr. 2021/241, ar ko izveido Atveseļošanas un noturības mehānismu, noteiktajam, iekļaujot atsauci – “Atbalsta Eiropas Savienība – Jaunā Paaudze ES”, saskaņā ar prasībām, kas ietvertas “Eiropas Savienības fondu 2021. – 2027. gada plānošanas perioda komunikācijas un dizaina vadlīnijas Eiropas Savienības fondu finansējuma saņēmējiem”, kā arī atbilstoši publicitātes prasībām, kas noteiktas līgumā ar sabiedrību “Altum”.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Subsīdijas ekvivalenta aprēķināšana un atbalsta kumulācija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Atbalstam subsīdijas ekvivalentu aprēķina un nosaka, summējot attiecīgās piešķirtā atbalsta daļas: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aizdevumam vai paralēlam aizdevumam, kas ir vienāds ar kapitāla atlaidi, vai tā daļai, kas ir kapitāla atlaides apjomā, subsīdijas ekvivalents ir vienāds ar komersantam piešķirtā sabiedrības “Altum” aizdevuma vai paralēlā aizdevuma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aizdevumam, kas pārsniedz kapitāla atlaides apjomu, subsīdijas ekvivalentu aprēķina kopā par visu atbalsta periodu, faktiski piemērojamo procentu summu atskaitot no procentu summas, kura jāmaksā saskaņā ar Eiropas Komisijas konkrētajam periodam noteikto bāzes likmi (bāzes un risku likmes publicētas Eiropas Komisijas Konkurences ģenerāldirektorāta tīmekļvietnē), kā arī riska likmi, kuras procentuālais apmērs tiek noteikts atbilstoši sabiedrības “Altum” izsniegtajam aizdevuma saņēmēja reitingam un piedāvātajam nodrošinājumam;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paralēlam aizdevumam, kas pārsniedz kapitāla atlaides apjomu, subsīdijas ekvivalentu aprēķina kopā par visu atbalsta periodu,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Atbalstu, kas piešķirts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vienām un tām pašām attiecināmajām izmaksām nedrīkst apvienot ar atbalstu, kuru sniedz saskaņā ar Eiropas Komisijas lēmumiem, kas pieņemti atbilstoši Komisijas 2020. gada 19. marta paziņojumam “Pagaidu regulējums valsts atbalsta pasākumiem, ar ko atbalsta ekonomiku pašreizējā Covid-19 uzliesmojuma situācijā” (C(2020)1863);</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apvienot ar šīs vai ar citas atbalsta programmas vai individuālā atbalsta projekta ietvaros piešķirto finansējumu, tai skaitā par tām pašām attiecināmām izmaksām un ar </w:t>
      </w:r>
      <w:r w:rsidR="00000000" w:rsidRPr="00000000" w:rsidDel="00000000">
        <w:rPr>
          <w:i w:val="1"/>
          <w:rtl w:val="0"/>
        </w:rPr>
        <w:t xml:space="preserve">de minimis</w:t>
      </w:r>
      <w:r w:rsidR="00000000" w:rsidRPr="00000000" w:rsidDel="00000000">
        <w:rPr>
          <w:rtl w:val="0"/>
        </w:rPr>
        <w:t xml:space="preserve"> atbalstu, ievērojot nosacījumu, ka šo noteikumu ietvaros piešķirtais finansējums kopā ar citas atbalsta programmas vai individuālā atbalsta projekta ietvaros piešķirto finansējumu nepārsniedz maksimāli pieļaujamo reģionālā finansējuma intensitāti, kas noteikta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apvienot ar reģionālo atbalstu citu reģionālo atbalsta projektu vai programmu ietvaros attiecībā uz atbalstu algu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Ievērojot  Komisijas regulas Nr. 1407/2013 5. panta 1. un 2. punktā minētos nosacījumus, saskaņā ar šo noteikumu 35. punktu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robežlielumam, kā arī drīkst apvienot ar citu valsts atbalstu attiecībā uz vienām un tām pašām attiecināmajām izmaksām, t.sk.,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Atbalsta uzskaite, neatbalstāmās nozares un darbības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un glabā to 10 gadus no dienas, kad šo noteikumu ietvaros ir piešķirts pēdējais atbalsts atbilstoši Komisijas regulas Nr. 651/2014 12. pantam, un informāciju pēc pieprasījuma iesniedz Ekonomikas ministrijai, revīzijas iestādei vai  Eiropas Komisijā;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komercdarbības atbalsta nosacījumu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šo noteikumu </w:t>
      </w:r>
      <w:r w:rsidR="00000000" w:rsidRPr="00000000" w:rsidDel="00000000">
        <w:rPr>
          <w:rtl w:val="0"/>
        </w:rPr>
        <w:t xml:space="preserve">17. </w:t>
      </w:r>
      <w:r w:rsidR="00000000" w:rsidRPr="00000000" w:rsidDel="00000000">
        <w:rPr>
          <w:rtl w:val="0"/>
        </w:rPr>
        <w:t xml:space="preserve">punkta</w:t>
      </w:r>
      <w:r w:rsidR="00000000" w:rsidRPr="00000000" w:rsidDel="00000000">
        <w:rPr>
          <w:rtl w:val="0"/>
        </w:rPr>
        <w:t xml:space="preserve"> ietvaros izsniegto atbalstu publicē atbilstoši Komisijas regulas Nr. 651/2014 9. panta 1. un 4. punktā noteiktajām publicitātes pasākumu prasībām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 savā tīmekļvietnē visu to komersantu, kuri šo noteikumu ietvaros ir saņēmuši aizdevumu, sarakstu, kurā norāda komersantam sabiedrības “Altum” piešķirtā aizdevuma un kapitāla atlaides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glabā 10 gadus no atbalsta piešķiršanas dienas;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sniedzot atbalstu, komersantam netiek piešķirts dubultfinansējums par vienām un tām pašām attiecināmām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Komersants: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uzskaiti par sniegto finansējumu un glabā to 10 gadus no dienas, kad šo noteikumu </w:t>
      </w:r>
      <w:r w:rsidR="00000000" w:rsidRPr="00000000" w:rsidDel="00000000">
        <w:rPr>
          <w:rtl w:val="0"/>
        </w:rPr>
        <w:t xml:space="preserve">17. </w:t>
      </w:r>
      <w:r w:rsidR="00000000" w:rsidRPr="00000000" w:rsidDel="00000000">
        <w:rPr>
          <w:rtl w:val="0"/>
        </w:rPr>
        <w:t xml:space="preserve">punkta</w:t>
      </w:r>
      <w:r w:rsidR="00000000" w:rsidRPr="00000000" w:rsidDel="00000000">
        <w:rPr>
          <w:rtl w:val="0"/>
        </w:rPr>
        <w:t xml:space="preserve"> ietvaros ir piešķirts atbalsts atbilstoši Komisijas regulas Nr. 651/2014 14. pantam, un informāciju pēc pieprasījuma iesniedz Eiropas Komisijā, sabiedrībā “Altum” un Ekonomikas ministrijā;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pieteikumā aizdevumam pamato un projekta īstenošanas laikā nodrošina darbības vai izmaksu nošķiršanu saskaņā ar Komisijas regulas Nr. 651/2014 1. panta 3. punktu, ja tas vienlaikus darbojas saskaņā ar šiem noteikumiem atbalstāmajās un neatbalstāmajās nozarēs un darbībās.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1407/2013 glabā 10 gadus no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Atbalstu nepiešķir šādām darbībām, nozarēm un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Komisijas regulas Nr. 651/2014 1. panta 2. punkta “c” un “d” apakšpunktā noteiktajām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Komisijas regulas Nr. 651/2014 13. panta “a” un “b” punktā noteiktajām nozarēm: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13. panta “a” punktā noteiktajām nozarēm atbilstoši Komisijas regulas Nr. 651/2014 2. panta 13., 43. un 44. punktā noteiktajām definīcijām un kuģubūvei, kas tiek definēta kā pašpiedziņas komerciālo kuģu būve. Pašpiedziņas komerciālie kuģi ir tādi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 (vai) preču pārvadāšanai;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50.3.1.1.</w:t>
      </w:r>
      <w:r w:rsidR="00000000" w:rsidRPr="00000000" w:rsidDel="00000000">
        <w:rPr>
          <w:rtl w:val="0"/>
        </w:rPr>
        <w:t xml:space="preserve">, </w:t>
      </w:r>
      <w:r w:rsidR="00000000" w:rsidRPr="00000000" w:rsidDel="00000000">
        <w:rPr>
          <w:rtl w:val="0"/>
        </w:rPr>
        <w:t xml:space="preserve">50.3.1.2.</w:t>
      </w:r>
      <w:r w:rsidR="00000000" w:rsidRPr="00000000" w:rsidDel="00000000">
        <w:rPr>
          <w:rtl w:val="0"/>
        </w:rPr>
        <w:t xml:space="preserve"> un </w:t>
      </w:r>
      <w:r w:rsidR="00000000" w:rsidRPr="00000000" w:rsidDel="00000000">
        <w:rPr>
          <w:rtl w:val="0"/>
        </w:rPr>
        <w:t xml:space="preserve">50.3.1.3. </w:t>
      </w:r>
      <w:r w:rsidR="00000000" w:rsidRPr="00000000" w:rsidDel="00000000">
        <w:rPr>
          <w:rtl w:val="0"/>
        </w:rPr>
        <w:t xml:space="preserve">apakšpunktu</w:t>
      </w:r>
      <w:r w:rsidR="00000000" w:rsidRPr="00000000" w:rsidDel="00000000">
        <w:rPr>
          <w:rtl w:val="0"/>
        </w:rPr>
        <w:t xml:space="preserve"> minēto kuģu nepabeigti korpusi, kas ir peldoši un pārvietojami;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13. panta “b” punktā noteiktajām nozarēm atbilstoši Komisijas regulas Nr. 651/2014 2. panta 45. un 130. punktā noteiktajām definīcijām;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Komisijas Regulas Nr. 651/2014 14. panta 17. punktā minētajiem nozaru ierobežojumiem;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ieroču un munīcijas tirdzniecībai (NACE 2. red. grupa 47.78 “Citur neklasificēta jaunu preču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atkritumu apglabāšanai un atkritumu apglabāšanas poligoniem, mehāniski bioloģiskajai apstrādei vai atkritumu sadedzināšanai un mehāniskās bioloģiskās attīrīšanas un atkritumu sadedzināšanas iekārtām, izņemot: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iekārtām, kas paredzētas vienīgi nepārstrādājamu bīstamo atkritumu apstrādei;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esošām iekārtām, kur ieguldījums ir paredzēts energoefektivitātes paaugstināšanai, izplūdes gāzu uztveršanai uzglabāšanai vai izmantošanai, vai materiālu iegūšanai no sadedzināšanas pelniem, ar nosacījumu, ka šādi ieguldījumi nepalielina iekārtu atkritumu pārstrādes apjomu vai nepagarina rūpnīcas ekonomisko dzīves ciklu.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darbībām, kurās ilgstoša atkritumu apglabāšana var radīt ilgtermiņa kaitējumu videi;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saistībā ar fosilo kurināmo (ieskaitot pārkārtoto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darbībām saskaņā ar ES ETS, lai sasniegtu prognozētās CO2 emisijas, kas nav zemākas par attiecīgajiem bezmaksas kvotu piešķiršanas kritērijiem. Ja atbalstītā darbība sasniedz prognozētās CO2 emisijas, kas nav būtiski zemākas par attiecīgajiem bezmaksas kvotu piešķiršanas kritērijiem, ir jāsniedz paskaidrojums par iemesliem, kuru dēļ tas nav iespējams. Bezmaksas kvotu piešķiršanas kritēriji ES ETS ietvaros ir noteikti Komisijas 2021. gada 12. marta īstenošanas regulā (ES) 2021/447, ar ko nosaka pārskatītās līmeņatzīmju vērtības bezmaksas emisijas kvotu iedalei 2021. – 2025. gada periodam saskaņā ar Eiropas Parlamenta un Padomes Direktīvas 2003/87/EK 10. a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aizdevumu refinansēšanai un restrukturēšanai;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ko piešķir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gadījumā, uzsāktu projektu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var pieņemt līdz Komisijas regulas Nr. 651/2014 darbības beigām, bet ne vēlāk kā līdz 2025.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Lēmumu par atbalsta piešķiršanu saskaņā ar šo noteikumu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var pieņemt līdz  Komisijas regulu Nr. 1407/2013  darbības beigām, bet ne vēlāk kā līdz 2025.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21-TA-1631</w:t>
    </w:r>
    <w:r>
      <w:br/>
    </w:r>
    <w:r w:rsidR="00000000" w:rsidRPr="00000000" w:rsidDel="00000000">
      <w:rPr>
        <w:rtl w:val="0"/>
      </w:rPr>
      <w:t xml:space="preserve">Izdrukāts 29.07.2026. 23.05 - 1.0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noteikumu_projekts_21-TA-1631.docx</dc:title>
</cp:coreProperties>
</file>

<file path=docProps/custom.xml><?xml version="1.0" encoding="utf-8"?>
<Properties xmlns="http://schemas.openxmlformats.org/officeDocument/2006/custom-properties" xmlns:vt="http://schemas.openxmlformats.org/officeDocument/2006/docPropsVTypes"/>
</file>