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2025. gada 1. aprīļa noteikumos Nr. 213 "Valsts un Eiropas Savienības atbalsta piešķiršanas kārtība Eiropas Lauksaimniecības fonda lauku attīstībai intervencē "Mākslīgo mitrāju izveide""</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Lauksaimniecības un lauku attīstības likuma</w:t>
      </w:r>
      <w:r w:rsidR="00000000" w:rsidRPr="00000000" w:rsidDel="00000000">
        <w:rPr>
          <w:rStyle w:val="paragraph"/>
          <w:i w:val="1"/>
          <w:rtl w:val="0"/>
        </w:rPr>
        <w:t xml:space="preserve"> </w:t>
      </w:r>
      <w:r w:rsidR="00000000" w:rsidRPr="00000000" w:rsidDel="00000000">
        <w:rPr>
          <w:rStyle w:val="paragraph"/>
          <w:i w:val="1"/>
          <w:rtl w:val="0"/>
        </w:rPr>
        <w:t xml:space="preserve">5. panta</w:t>
      </w:r>
      <w:r w:rsidR="00000000" w:rsidRPr="00000000" w:rsidDel="00000000">
        <w:rPr>
          <w:rStyle w:val="paragraph"/>
          <w:i w:val="1"/>
          <w:rtl w:val="0"/>
        </w:rPr>
        <w:t xml:space="preserve"> ceturto un septīto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2025. gada 1. aprīļa noteikumos Nr. 213 "Valsts un Eiropas Savienības atbalsta piešķiršanas kārtība Eiropas Lauksaimniecības fonda lauku attīstībai intervencē "Mākslīgo mitrāju izveide"" (Latvijas Vēstnesis, 2025, 65.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Svītrot 10.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16.</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 Būvprojekta sagatavošanas termiņš ir divi mēneši."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16.</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2</w:t>
      </w:r>
      <w:r w:rsidR="00000000" w:rsidRPr="00000000" w:rsidDel="00000000">
        <w:rPr>
          <w:rtl w:val="0"/>
        </w:rPr>
        <w:t xml:space="preserve"> Šo noteikumu 3. punktā minētās intervences īstenošanas ietvaros būvdarbus var veikt pats atbalsta pretendents, ja tam ir iegūta attiecīga kvalifikācija, un tas vienlaikus nodrošina, ka būvniecības procesam ir piesaistīts būvdarbu vadītājs un būvuzraugs ar  kvalifikāciju un sertifikāciju hidromeliorācijas jomā, par ko tiek informēts Lauku atbalsta dienest vienlaikus ar projekta pieteikuma iesniegšanu.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23.4.3.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"23.4.3. ūdens attīrās seklā slānī, vismaz 50 procentu no mākslīgā mitrāja spoguļvirsmas laukuma aizņemot veģetācijai, ko veido dabiski vai reti stādīti ūdensaugi, vienlaikus nodrošinot, ka tie ir no dažādām tādu augu sugām kā, piemēram niedres, vilkuvāles, meldi, kalmes vai citi mitrumu mīloši augi, tostarp ūdensrozes vai tādus augus, kas fitoremidiācijas ceļā veicina nevēlamā elementa papildu attīrīšanu;".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ar 28.11.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"28.11. izdevumi, kas saistīti ar meliorācijas sistēmas pārbūvi, atjaunošanu vai izbūvi."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29.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 Šo noteikumu 3. punktā  minētās intervences atbalsta saņēmējam ir pieejams avanss bez kredītiestādes garantijas ne vairāk kā 50 procentu apmērā no projekta kopējā publiskā finansējuma pēc tam, kad pieņemts lēmums par projekta iesnieguma apstiprināšanu."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26-TA-901</w:t>
    </w:r>
    <w:r>
      <w:br/>
    </w:r>
    <w:r w:rsidR="00000000" w:rsidRPr="00000000" w:rsidDel="00000000">
      <w:rPr>
        <w:rtl w:val="0"/>
      </w:rPr>
      <w:t xml:space="preserve">Izdrukāts 29.07.2026. 22.13 - 1.0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26-TA-901</w:t>
    </w:r>
    <w:r>
      <w:br/>
    </w:r>
    <w:r w:rsidR="00000000" w:rsidRPr="00000000" w:rsidDel="00000000">
      <w:rPr>
        <w:rtl w:val="0"/>
      </w:rPr>
      <w:t xml:space="preserve">Izdrukāts 29.07.2026. 22.13 - 1.0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noteikumu_(grozījumu)_projekts_26-TA-901.docx</dc:title>
</cp:coreProperties>
</file>

<file path=docProps/custom.xml><?xml version="1.0" encoding="utf-8"?>
<Properties xmlns="http://schemas.openxmlformats.org/officeDocument/2006/custom-properties" xmlns:vt="http://schemas.openxmlformats.org/officeDocument/2006/docPropsVTypes"/>
</file>