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Sodu reģistrā pārbaudāmās tiesību normas e-izziņas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Pārbaudāmās tiesību normas attiecībā uz pretendentu, kandidātu, personālsabiedrības biedru (ja kandidāts vai pretendents ir personālsabiedrība), uz pretendenta norādīto apakšuzņēmēju, ja uz to attiecināma izslēgšanas nosacījumu pārbaude, kā arī uz personu, uz kuras iespējām pretendents vai kandidāts balstās, lai apliecinātu, ka tā kvalifikācija atbilst paziņojumā par līgumu vai iepirkuma procedūras dokumentos noteiktajām prasībām:</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16"/>
        <w:gridCol w:w="3020"/>
        <w:gridCol w:w="3052"/>
        <w:tblGridChange w:id="0">
          <w:tblGrid>
            <w:gridCol w:w="3116"/>
            <w:gridCol w:w="3020"/>
            <w:gridCol w:w="30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Pārbaudes periods (mēneši)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 pirmā daļa (tostarp jebkurš no minētās daļas apakšpunktiem), ja horizontālo karteļa vienošanos kā izslēgšanas pamatu no iepirkuma procedūras ir norādījusi Konkurences padome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Administratīvo pārkāpumu kodekss*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panta otrā daļa un 159.</w:t>
            </w:r>
            <w:r w:rsidR="00000000" w:rsidRPr="00000000" w:rsidDel="00000000">
              <w:rPr>
                <w:vertAlign w:val="superscript"/>
                <w:rtl w:val="0"/>
              </w:rPr>
              <w:t xml:space="preserve">8</w:t>
            </w:r>
            <w:r w:rsidR="00000000" w:rsidRPr="00000000" w:rsidDel="00000000">
              <w:rPr>
                <w:rtl w:val="0"/>
              </w:rPr>
              <w:t xml:space="preserve"> panta septītā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r>
              <w:br/>
            </w:r>
            <w:r w:rsidR="00000000" w:rsidRPr="00000000" w:rsidDel="00000000">
              <w:rPr>
                <w:rtl w:val="0"/>
              </w:rPr>
              <w:t xml:space="preserve">likums "Par nodokļiem un nodevām"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158. pants un likuma "Par nodokļiem un nodevām" 142.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pants un 68.</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Tiek piemērots par pārkāpumiem, kuri izdarīti līdz 2020. gada 1. jūlijam, bet kuru soda izpilde un sodāmības dzēšana notiek saskaņā ar Administratīvās atbildības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Par pārkāpumiem, kuri izdarīti līdz 2025. gada 31. augustam, tiek piemērots Imigrācijas likuma 68.</w:t>
      </w:r>
      <w:r w:rsidR="00000000" w:rsidRPr="00000000" w:rsidDel="00000000">
        <w:rPr>
          <w:vertAlign w:val="superscript"/>
          <w:rtl w:val="0"/>
        </w:rPr>
        <w:t xml:space="preserve">4</w:t>
      </w:r>
      <w:r w:rsidR="00000000" w:rsidRPr="00000000" w:rsidDel="00000000">
        <w:rPr>
          <w:rtl w:val="0"/>
        </w:rPr>
        <w:t xml:space="preserve"> pants. Par pārkāpumiem, kuri izdarīti, sākot ar 2025. gada 1. septembri, piemēro Imigrācijas likuma 68.</w:t>
      </w:r>
      <w:r w:rsidR="00000000" w:rsidRPr="00000000" w:rsidDel="00000000">
        <w:rPr>
          <w:vertAlign w:val="superscript"/>
          <w:rtl w:val="0"/>
        </w:rPr>
        <w:t xml:space="preserve">5</w:t>
      </w:r>
      <w:r w:rsidR="00000000" w:rsidRPr="00000000" w:rsidDel="00000000">
        <w:rPr>
          <w:rtl w:val="0"/>
        </w:rPr>
        <w:t xml:space="preserve">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Pārbaudāmās tiesību normas attiecībā uz personu, kurai kandidātā vai pretendentā ir izšķiroša ietekme uz līdzdalības pamata normatīvo aktu par koncerniem izpratnē, tās valdes vai padomes locekli, pārstāvēttiesīgo personu, prokūristu vai personu, kura ir pilnvarota pārstāvēt šīs personas darbībās, kas saistītas ar filiāli, uz kandidāta vai pretendenta patieso labuma guvēju, kā arī uz šā pielikuma 1. punktā minēto personu valdes vai padomes locekli, pārstāvēttiesīgo personu, prokūristu vai personu, kura ir pilnvarota pārstāvēt šīs personas darbībās, kas saistītas ar filiāli: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25"/>
        <w:gridCol w:w="2962"/>
        <w:gridCol w:w="3003"/>
        <w:tblGridChange w:id="0">
          <w:tblGrid>
            <w:gridCol w:w="3225"/>
            <w:gridCol w:w="2962"/>
            <w:gridCol w:w="300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Pārbaudes periods (mēneši)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25-TA-2451</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25-TA-2451</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noteikumu_(grozījumu)_projekts_p2_25-TA-2451.docx</dc:title>
</cp:coreProperties>
</file>

<file path=docProps/custom.xml><?xml version="1.0" encoding="utf-8"?>
<Properties xmlns="http://schemas.openxmlformats.org/officeDocument/2006/custom-properties" xmlns:vt="http://schemas.openxmlformats.org/officeDocument/2006/docPropsVTypes"/>
</file>