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decembrī (prot. Nr. 51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5. janvāra noteikumos Nr. 20 "Kārtība, kādā finanšu iestāde izpilda finanšu kontu pienācīgas pārbaudes procedūras un sniedz Valsts ieņēmumu dienestam informāciju par finanšu kontiem"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w:t>
      </w:r>
      <w:r w:rsidR="00000000" w:rsidRPr="00000000" w:rsidDel="00000000">
        <w:rPr>
          <w:rStyle w:val="paragraph"/>
          <w:i w:val="1"/>
          <w:rtl w:val="0"/>
        </w:rPr>
        <w:t xml:space="preserve">64.</w:t>
      </w:r>
      <w:r w:rsidR="00000000" w:rsidRPr="00000000" w:rsidDel="00000000">
        <w:rPr>
          <w:rStyle w:val="paragraph"/>
          <w:i w:val="1"/>
          <w:rtl w:val="0"/>
        </w:rPr>
        <w:t xml:space="preserve"> </w:t>
      </w:r>
      <w:r w:rsidR="00000000" w:rsidRPr="00000000" w:rsidDel="00000000">
        <w:rPr>
          <w:rStyle w:val="paragraph"/>
          <w:i w:val="1"/>
          <w:rtl w:val="0"/>
        </w:rPr>
        <w:t xml:space="preserve">pantu</w:t>
      </w:r>
      <w:r w:rsidR="00000000" w:rsidRPr="00000000" w:rsidDel="00000000">
        <w:rPr>
          <w:rStyle w:val="paragraph"/>
          <w:i w:val="1"/>
          <w:rtl w:val="0"/>
        </w:rPr>
        <w:t xml:space="preserve">, </w:t>
      </w:r>
      <w:r w:rsidR="00000000" w:rsidRPr="00000000" w:rsidDel="00000000">
        <w:rPr>
          <w:rStyle w:val="paragraph"/>
          <w:i w:val="1"/>
          <w:rtl w:val="0"/>
        </w:rPr>
        <w:t xml:space="preserve">97.</w:t>
      </w:r>
      <w:r w:rsidR="00000000" w:rsidRPr="00000000" w:rsidDel="00000000">
        <w:rPr>
          <w:rStyle w:val="paragraph"/>
          <w:i w:val="1"/>
          <w:rtl w:val="0"/>
        </w:rPr>
        <w:t xml:space="preserve"> </w:t>
      </w:r>
      <w:r w:rsidR="00000000" w:rsidRPr="00000000" w:rsidDel="00000000">
        <w:rPr>
          <w:rStyle w:val="paragraph"/>
          <w:i w:val="1"/>
          <w:rtl w:val="0"/>
        </w:rPr>
        <w:t xml:space="preserve">panta</w:t>
      </w:r>
      <w:r w:rsidR="00000000" w:rsidRPr="00000000" w:rsidDel="00000000">
        <w:rPr>
          <w:rStyle w:val="paragraph"/>
          <w:i w:val="1"/>
          <w:rtl w:val="0"/>
        </w:rPr>
        <w:t xml:space="preserve"> pirmo daļu, </w:t>
      </w:r>
      <w:r w:rsidR="00000000" w:rsidRPr="00000000" w:rsidDel="00000000">
        <w:rPr>
          <w:rStyle w:val="paragraph"/>
          <w:i w:val="1"/>
          <w:rtl w:val="0"/>
        </w:rPr>
        <w:t xml:space="preserve">99.</w:t>
      </w:r>
      <w:r w:rsidR="00000000" w:rsidRPr="00000000" w:rsidDel="00000000">
        <w:rPr>
          <w:rStyle w:val="paragraph"/>
          <w:i w:val="1"/>
          <w:rtl w:val="0"/>
        </w:rPr>
        <w:t xml:space="preserve"> </w:t>
      </w:r>
      <w:r w:rsidR="00000000" w:rsidRPr="00000000" w:rsidDel="00000000">
        <w:rPr>
          <w:rStyle w:val="paragraph"/>
          <w:i w:val="1"/>
          <w:rtl w:val="0"/>
        </w:rPr>
        <w:t xml:space="preserve">panta</w:t>
      </w:r>
      <w:r w:rsidR="00000000" w:rsidRPr="00000000" w:rsidDel="00000000">
        <w:rPr>
          <w:rStyle w:val="paragraph"/>
          <w:i w:val="1"/>
          <w:rtl w:val="0"/>
        </w:rPr>
        <w:t xml:space="preserve"> pirmo daļu un </w:t>
      </w:r>
      <w:r w:rsidR="00000000" w:rsidRPr="00000000" w:rsidDel="00000000">
        <w:rPr>
          <w:rStyle w:val="paragraph"/>
          <w:i w:val="1"/>
          <w:rtl w:val="0"/>
        </w:rPr>
        <w:t xml:space="preserve">100.</w:t>
      </w:r>
      <w:r w:rsidR="00000000" w:rsidRPr="00000000" w:rsidDel="00000000">
        <w:rPr>
          <w:rStyle w:val="paragraph"/>
          <w:i w:val="1"/>
          <w:rtl w:val="0"/>
        </w:rPr>
        <w:t xml:space="preserve"> </w:t>
      </w:r>
      <w:r w:rsidR="00000000" w:rsidRPr="00000000" w:rsidDel="00000000">
        <w:rPr>
          <w:rStyle w:val="paragraph"/>
          <w:i w:val="1"/>
          <w:rtl w:val="0"/>
        </w:rPr>
        <w:t xml:space="preserve">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aizstāt noteikumu tekstā vārdus "Noziedzīgi iegūtu līdzekļu legalizācijas un terorisma finansēšanas novēršanas likums" (attiecīgā locījumā) ar vārdiem "Noziedzīgi iegūtu līdzekļu legalizācijas un terorisma un proliferācijas finansēšanas novēršanas likums" (attiecīgā locījumā);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automātiskajā informācijas apmaiņā par finanšu kontiem iesaistīto valstu un teritoriju (turpmāk – iesaistītā valsts) saraksta publicēšanas kārtību un kontu kategorijas noteikšanas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1. nodaļu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Finanšu ministrijas sagatavoto iesaistīto valstu sarakstu publicē oficiālajā izdevumā "Latvijas Vēstnesis" un aktualizēto sarakstu piemēro no nākamā gada 1. janvāra pēc tā publicēšanas. Šajā sarakstā tiek norādītas arī tās iesaistītās valstis, attiecībā uz kuru rezidentiem finanšu iestāde ir tiesīga nepiemērot pienācīgas pārbaudes procedūras, izņemot šo noteikumu 46.1. un 51.1. apakšpunktā minētos nosacījumus, un nesniegt Valsts ieņēmumu dienestam likuma "Par nodokļiem un nodevām" 100. panta pirmajā daļā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Attiecībā uz tām valstīm, ar kurām tiek papildināts iesaistīto valstu saraksts un par kuru nodokļu rezidentiem finanšu iestādei ir pienākums sniegt informāciju Valsts ieņēmumu dienestam saskaņā ar likuma 100. pantu, par kontu kategorijas noteikšanas datumu uzskata dienu, pirms piemērojams aktualizētais iesaistīto valstu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10.1.1. un 10.1.2. apakšpunktā vārdus "šo noteikumu pielikumā norādītajā";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2. nodaļu ar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iesaistītā valsts nodrošina pakalpojumu, ar kuru iespējams elektroniski, bez maksas pārliecināties par konta turētāja vai patiesā labuma guvēja identitāti un nodokļu rezidenci, finanšu iestāde var izmantot šo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noteikumus aiz 3. nodaļas nosaukuma "3. Pienācīgas pārbaudes noteikumi iepriekšpastāvējušiem fizisko personu kontiem" ar 3.1. apakšnodaļas nosaukumu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 Pienācīgas pārbaudes vispārīgie noteikumi iepriekšpastāvējušiem fizisko personu kontiem";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"21. Finanšu iestāde pabeidz pienācīgas pārbaudes procedūras 12 mēnešu laikā no kontu kategorijas noteikšanas datuma iepriekšpastāvējušiem fizisko personu lielas vērtības kontiem un 24 mēnešu laikā no kontu kategorijas noteikšanas datuma iepriekšpastāvējušiem fizisko personu zemas vērtības kontiem.";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3.1. apakšnodaļas nosaukumu "3.1. Pienācīgas pārbaudes noteikumi iepriekšpastāvējušiem fizisko personu zemas vērtības kontiem"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Pienācīgas pārbaudes noteikumi iepriekšpastāvējušiem fizisko personu zemas vērtības kontiem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51.2. apakšpunktu ar teikumu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finanšu iestādei nav pienākuma piemērot minētās procedūras, tā, lai noteiktu konta turētāja patieso labuma guvēju, piemēro pēc būtības līdzīgas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aizstāt 54. punktā skaitli un vārdu "3.1. apakšnodaļā" ar skaitli un vārdu "3.1.</w:t>
      </w:r>
      <w:r w:rsidR="00000000" w:rsidRPr="00000000" w:rsidDel="00000000">
        <w:rPr>
          <w:vertAlign w:val="superscript"/>
          <w:rtl w:val="0"/>
        </w:rPr>
        <w:t xml:space="preserve">1</w:t>
      </w:r>
      <w:r w:rsidR="00000000" w:rsidRPr="00000000" w:rsidDel="00000000">
        <w:rPr>
          <w:rtl w:val="0"/>
        </w:rPr>
        <w:t xml:space="preserve"> apakšnodaļā";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63.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aizstāt 64. punktā vārdus "vienas XML datnes formātā" ar vārdiem "XML datnes formātā, ja nepieciešams, dalot vairākās datnēs";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aizstāt 69. punktā vārdus un skaitļus "nulles ziņojumu, ievērojot šo noteikumu 62., 63. un 64. punktu" ar vārdiem "apliecinājumu, izmantojot Valsts ieņēmumu dienesta elektroniskās deklarēšanas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informatīvo atsauci uz Eiropas Savienības direktīvām ar 3.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Padomes 2023. gada 17. oktobra Direktīvas (ES) 2023/2226, ar ko groza Direktīvu 2011/16/ES par administratīvu sadarbību nodokļu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25-TA-770</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25-TA-770</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noteikumu_(grozījumu)_projekts_25-TA-770.docx</dc:title>
</cp:coreProperties>
</file>

<file path=docProps/custom.xml><?xml version="1.0" encoding="utf-8"?>
<Properties xmlns="http://schemas.openxmlformats.org/officeDocument/2006/custom-properties" xmlns:vt="http://schemas.openxmlformats.org/officeDocument/2006/docPropsVTypes"/>
</file>