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Kārtība, kādā iesniedzams ziņojums par azartspēļu un izložu organizēšanu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Azartspēļu un izložu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84.panta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kārtību, kādā azartspēļu un izložu organizētājs iesniedz Valsts ieņēmumu dienestā ziņojumu par azartspēļu un izložu organizēšanu pārskata ceturksnī.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Ziņojumā par azartspēļu organizēšanu pārskata ceturksnī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 norāda šādu informāciju: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firma, reģistrācijas numurs komercreģistrā, juridiskā adrese, azartspēļu organizēšanas licences kārtas numurs;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azartspēļu organizēšanas rādītāji: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ekspluatēto azartspēļu iekārtu skaits: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azartspēļu automātu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ruletes (cilindriskās spēles) galdu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kāršu spēles galdu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kauliņu spēles galdu skaits;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azartspēļu organizēšanas vietu skaits: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spēļu automātu zāļu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kazino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bingo zāļu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totalizatora likmju pieņemšanas vietu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derību likmju pieņemšanas vietu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veiksmes spēlēs pa tālruni izmantoto tālruņa numuru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interaktīvajām azartspēlēm izmantoto domēna vārdu skaits;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darbības ekonomiskie rādītāji: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neto apgrozījums: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azartspēļu organizēšanas, izņemot neto ieņēmumus no interaktīvo azartspēļu organizēšanas: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spēļu automātu spēles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ruletes (cilindriskās spēles)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kāršu spēles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kauliņu spēles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bingo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totalizatora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derību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veiksmes spēļu pa tālruni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kazino žetonu skaita izmaiņas;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citi ieņēmumi (pateicības dāvanas, dzeramnauda);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interaktīvo azartspēļu organizēšanas: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interaktīvās spēļu automātu spēles, ruletes (cilindriskās spēles), kāršu spēles, kauliņu spēles un bingo organizēšanas, izņemot neto ieņēmumus no interaktīvās kāršu spēles starp spēlētājiem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interaktīvā totalizatora un derību organizēšanas;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interaktīvās kāršu spēles starp spēlētājiem organizēšanas;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pārējās uzņēmējdarbības;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kopējās izmaksas: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azartspēļu organizēšanas izmaksas;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pārējās uzņēmējdarbības izmaksas;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peļņa vai zaudējumi;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darbinieku skaits: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kopējais darbinieku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darbinieku skaits, kuri tieši saistīti ar azartspēļu organizēšanu;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aprēķinātie nodokļi un nodevas: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azartspēļu nodoklis: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azartspēļu nodoklis valsts pamatbudžetā;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azartspēļu nodoklis pašvaldību budžetos;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pārējie maksājumi: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uzņēmumu ienākuma nodoklis;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nekustamā īpašuma nodoklis;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pievienotās vērtības nodoklis;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sociālās apdrošināšanas obligātās iemaksas;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citi nodokļi un nodevas;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pārskata ceturksnī izmaksātie laimesti: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izmaksāto laimestu skaits: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laimestu skaits no 3 000 līdz 8 000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laimestu skaits, kuri pārsniedz 8 000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izmaksāto laimestu kopsumma, kura pārsniedz 3 000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Ziņojumā par izložu organizēšanu pārskata ceturksnī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 norāda šādu informāciju: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firma, reģistrācijas numurs komercreģistrā vai Tieslietu ministrijā, juridiskā adrese, izložu organizēšanas licences kārtas numurs;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izložu organizēšanas rādītāji: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organizēto loteriju skaits: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momentloteriju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skaitļu loteriju skaits;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loterijas biļešu realizācijas vietu skaits;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darbības ekonomiskie rādītāji: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neto apgrozījums: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loterijas biļešu realizācijas, izņemot neto ieņēmumus no loterijas biļešu realizācijas ar elektronisko sakaru starpniecību: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momentloterijas biļešu realizācijas;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skaitļu loterijas biļešu realizācijas;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loterijas biļešu realizācijas ar elektronisko sakaru starpniecību: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momentloterijas biļešu realizācijas ar elektronisko sakaru starpniecību;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skaitļu loterijas biļešu realizācijas ar elektronisko sakaru starpniecību;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neto ieņēmumi no pārējās uzņēmējdarbības;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kopējās izmaksas: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loteriju organizēšanas izmaksas;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pārējās uzņēmējdarbības izmaksas;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peļņa vai zaudējumi;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darbinieku skaits: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kopējais darbinieku skaits;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darbinieku skaits, kuri tieši saistīti ar loteriju organizēšanu;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saņēmēja aprēķinātie nodokļi un nodevas: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izložu nodoklis;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izložu valsts nodeva;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pārējie maksājumi: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uzņēmumu ienākuma nodoklis;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nekustamā īpašuma nodoklis;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pievienotās vērtības nodoklis;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sociālās apdrošināšanas obligātās iemaksas;</w:t>
      </w:r>
    </w:p>
    <w:p w:rsidP="00000000" w:rsidRDefault="00000000" w:rsidR="00000000" w:rsidRPr="00000000" w:rsidDel="00000000">
      <w:pPr>
        <w:numPr>
          <w:ilvl w:val="4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citi nodokļi un nodevas;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pārskata ceturksnī izmaksātie laimesti: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izmaksāto laimestu skaits: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laimestu skaits no 3 000 līdz 8 000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3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laimestu skaits, kuri pārsniedz 8 000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izmaksāto laimestu kopsumma, kura pārsniedz 3 000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Ziņojumā par izložu vai azartspēļu organizēšanu pārskata ceturksnī minēto informāciju norāda: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2.2.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rtl w:val="0"/>
        </w:rPr>
        <w:t xml:space="preserve">3.2.</w:t>
      </w:r>
      <w:r w:rsidR="00000000" w:rsidRPr="00000000" w:rsidDel="00000000">
        <w:rPr>
          <w:rtl w:val="0"/>
        </w:rPr>
        <w:t xml:space="preserve"> apakšpunktā minēto informāciju – par katru pārskata ceturkšņa mēnesi;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2.3.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rtl w:val="0"/>
        </w:rPr>
        <w:t xml:space="preserve">3.3.</w:t>
      </w:r>
      <w:r w:rsidR="00000000" w:rsidRPr="00000000" w:rsidDel="00000000">
        <w:rPr>
          <w:rtl w:val="0"/>
        </w:rPr>
        <w:t xml:space="preserve"> apakšpunktā minēto informāciju – par pārskata ceturksni kopā un pieaugošā kārtībā no pārskata gada sākuma;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2.4.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rtl w:val="0"/>
        </w:rPr>
        <w:t xml:space="preserve">3.4.</w:t>
      </w:r>
      <w:r w:rsidR="00000000" w:rsidRPr="00000000" w:rsidDel="00000000">
        <w:rPr>
          <w:rtl w:val="0"/>
        </w:rPr>
        <w:t xml:space="preserve"> apakšpunktā minēto informāciju – par katru pārskata ceturkšņa mēnesi un par pārskata ceturksni kopā;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2.2.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2.3.4.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3.2.1.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3.2.2.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rtl w:val="0"/>
        </w:rPr>
        <w:t xml:space="preserve">3.3.4.</w:t>
      </w:r>
      <w:r w:rsidR="00000000" w:rsidRPr="00000000" w:rsidDel="00000000">
        <w:rPr>
          <w:rtl w:val="0"/>
        </w:rPr>
        <w:t xml:space="preserve"> apakšpunktā minēto informāciju – uz pārskata perioda pēdējo dienu.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Licences saņēmējs ziņojumu par azartspēļu un izložu organizēšanu pārskata ceturksnī iesniedz Valsts ieņēmumu dienestā.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2007. gada 6. februāra noteikumus Nr. 96 "Kārtība, kādā iesniedzams ziņojums par azartspēļu un izložu organizēšanu" (Latvijas Vēstnesis, 2007, 24. nr.; 2013, 193. 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piemērojami ar pārskata ceturksni, kas sākas 2015. gada 1. janvārī.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25-TA-3072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25-TA-3072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4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noteikumu_konsolidētā_versija_25-TA-3072.docx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