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758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3. decembrī (prot. Nr. 51 29.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2017. gada 16. augusta noteikumos Nr. 474 "Tieslietu ministrijas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br/>
      </w:r>
      <w:r w:rsidR="00000000" w:rsidRPr="00000000" w:rsidDel="00000000">
        <w:rPr>
          <w:rStyle w:val="paragraph"/>
          <w:i w:val="1"/>
          <w:rtl w:val="0"/>
        </w:rPr>
        <w:t xml:space="preserve">16. panta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2017. gada 16. augusta noteikumos Nr. 474 "Tieslietu ministrijas nolikums" (Latvijas Vēstnesis, 2017, 164. nr.; 2021, 104. nr.; 2023, 237.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5.18.</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"5.18.</w:t>
      </w:r>
      <w:r w:rsidR="00000000" w:rsidRPr="00000000" w:rsidDel="00000000">
        <w:rPr>
          <w:vertAlign w:val="superscript"/>
          <w:rtl w:val="0"/>
        </w:rPr>
        <w:t xml:space="preserve">1</w:t>
      </w:r>
      <w:r w:rsidR="00000000" w:rsidRPr="00000000" w:rsidDel="00000000">
        <w:rPr>
          <w:rtl w:val="0"/>
        </w:rPr>
        <w:t xml:space="preserve"> slēdzot deleģēšanas līgumu ar nodibinājumu "Allažu bērnu un ģimenes atbalsta centrs", nodrošina vides maiņas principā balstītus risku mazināšanas pasākumus probācijas sistēmā esošajiem nepilngadīgajiem. Uzdevuma izpildē nodibinājums "Allažu bērnu un ģimenes atbalsta centrs" ir ministrijas funkcionālā pakļautībā;".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24-TA-2583</w:t>
    </w:r>
    <w:r>
      <w:br/>
    </w:r>
    <w:r w:rsidR="00000000" w:rsidRPr="00000000" w:rsidDel="00000000">
      <w:rPr>
        <w:rtl w:val="0"/>
      </w:rPr>
      <w:t xml:space="preserve">Izdrukāts 29.07.2026. 23.38 - 1.0.VK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24-TA-2583</w:t>
    </w:r>
    <w:r>
      <w:br/>
    </w:r>
    <w:r w:rsidR="00000000" w:rsidRPr="00000000" w:rsidDel="00000000">
      <w:rPr>
        <w:rtl w:val="0"/>
      </w:rPr>
      <w:t xml:space="preserve">Izdrukāts 29.07.2026. 23.38 - 1.0.VK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noteikumu_(grozījumu)_projekts_24-TA-2583.docx</dc:title>
</cp:coreProperties>
</file>

<file path=docProps/custom.xml><?xml version="1.0" encoding="utf-8"?>
<Properties xmlns="http://schemas.openxmlformats.org/officeDocument/2006/custom-properties" xmlns:vt="http://schemas.openxmlformats.org/officeDocument/2006/docPropsVTypes"/>
</file>