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 septembrī (prot. Nr. 35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9. jūlija noteikumos Nr. 447 "Eiropas Savienības kohēzijas politikas programmas 2021.–2027. gadam 2.3.1. specifiskā atbalsta mērķa "Veicināt ilgtspējīgu daudzveidu mobilitāti pilsētās" 2.3.1.3. pasākuma  "Veloinfrastruktūras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Eiropas Savienības fondu 2021.</w:t>
      </w:r>
      <w:r w:rsidR="00000000" w:rsidRPr="00000000" w:rsidDel="00000000">
        <w:rPr>
          <w:rStyle w:val="paragraph"/>
          <w:i w:val="1"/>
          <w:rtl w:val="0"/>
        </w:rPr>
        <w:t xml:space="preserve">–</w:t>
      </w:r>
      <w:r w:rsidR="00000000" w:rsidRPr="00000000" w:rsidDel="00000000">
        <w:rPr>
          <w:rStyle w:val="paragraph"/>
          <w:i w:val="1"/>
          <w:rtl w:val="0"/>
        </w:rPr>
        <w:t xml:space="preserve">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9. jūlija noteikumos Nr. 447 "Eiropas Savienības kohēzijas politikas programmas 2021.–2027. gadam 2.3.1. specifiskā atbalsta mērķa "Veicināt ilgtspējīgu daudzveidu mobilitāti pilsētās" 2.3.1.3. pasākuma  "Veloinfrastruktūras attīstība" īstenošanas noteikumi" (Latvijas Vēstnesis, 2024, 133.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Pasākumam pieejamais kopējais attiecināmais finansējums līdz 2025. gada 31. decembrim ir 22 287 965 </w:t>
      </w:r>
      <w:r w:rsidR="00000000" w:rsidRPr="00000000" w:rsidDel="00000000">
        <w:rPr>
          <w:i w:val="1"/>
          <w:rtl w:val="0"/>
        </w:rPr>
        <w:t xml:space="preserve">euro</w:t>
      </w:r>
      <w:r w:rsidR="00000000" w:rsidRPr="00000000" w:rsidDel="00000000">
        <w:rPr>
          <w:rtl w:val="0"/>
        </w:rPr>
        <w:t xml:space="preserve">, tai skaitā ERAF finansējums 18 944 770 </w:t>
      </w:r>
      <w:r w:rsidR="00000000" w:rsidRPr="00000000" w:rsidDel="00000000">
        <w:rPr>
          <w:i w:val="1"/>
          <w:rtl w:val="0"/>
        </w:rPr>
        <w:t xml:space="preserve">euro </w:t>
      </w:r>
      <w:r w:rsidR="00000000" w:rsidRPr="00000000" w:rsidDel="00000000">
        <w:rPr>
          <w:rtl w:val="0"/>
        </w:rPr>
        <w:t xml:space="preserve">un nacionālais finansējums (valsts budžeta finansējums) 3 343 195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vienlaikus paredzot šo noteikumu 8. punktā minēto rādītāju izpildi: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atdalītas jaunizbūvētas vai būtiski uzlabotas veloceļu infrastruktūras garums – vismaz 50 km;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atdalītas riteņbraukšanas infrastruktūras lietotāju skaits gadā – vismaz 4 850 lietotāji."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Pievienotās vērtības nodoklis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apakšpunktā ietvertajiem nosacījumiem, ja vien tās nav atgūstamas saskaņā ar valsts normatīvajiem aktiem pievienotās vērtības nodokļa jomā."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24-TA-1896</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24-TA-1896</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noteikumu_(grozījumu)_projekts_24-TA-1896.docx</dc:title>
</cp:coreProperties>
</file>

<file path=docProps/custom.xml><?xml version="1.0" encoding="utf-8"?>
<Properties xmlns="http://schemas.openxmlformats.org/officeDocument/2006/custom-properties" xmlns:vt="http://schemas.openxmlformats.org/officeDocument/2006/docPropsVTypes"/>
</file>