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Maksājumu pakalpojumu un elektroniskās naudas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Maksājumu pakalpojumu un elektroniskās naudas likumā (Latvijas Vēstnesis, 2010, 43. nr.; 2011, 52., 85. nr.; 2013, 128., 187. nr.; 2014, 92. nr.; 2015, 248. nr.; 2016, 108., 241. nr.; 2017, 54., 222. nr.; 2018, 132. nr.; 2019, 75., 228. nr.; 2020, 123. nr.; 2021, 193.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11. pantu ar piekto daļu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Informācija un dokumenti iesniedzami valsts valodā vai valodā, kuru lieto starptautisko finanšu jomā, vai valodā, par kuru dokumentu iesniedzējs ir vienojies ar Latvijas Banku."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Latvijas Banka nosaka prasības ārpakalpojuma izmantošanai, tostarp ārpakalpojumu politikā un procedūrās un nozīmīgu ārpakalpojumu līgumos iekļaujamās prasības, Latvijas Bankai iesniedzamos dokumentus un informāciju nozīmīgu ārpakalpojumu saņemšanai, darījumus, kas nav uzskatāmi par ārpakalpojumiem, kārtību, kādā iestāde informē par ārpakalpojumu tālāku deleģēšanu, kā arī kārtību, kādā iestāde identificē nozīmīgus ārpakalpojumus un ziņo par to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Pirms nozīmīga ārpakalpojuma saņemšanas iestāde iesniedz Latvijas Bankai motivētu rakstveida iesniegumu par plānoto ārpakalpojuma saņemšanu. Iesniegumam pievieno Latvijas Bankas noteikumos norādītos dokumentus un informāciju, kas nepieciešama, lai izvērtētu saņemamā ārpakalpojuma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un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51.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Latvijas Banka no citas dalībvalsts iestāžu uzraudzības institūcijas ir saņēmusi informāciju par to, ka Latvijā licencētas iestādes filiāle vai pārstāvis, kas darbojas citā dalībvalstī, vai licencēta iestāde, kas sniedz finanšu pakalpojumus citā dalībvalstī, neatverot tajā filiāli vai neizmantojot pārstāvi, veic darbības, kas ir pretrunā ar normatīvajiem aktiem, tā nekavējoties pēc informācijas izvērtēšanas veic visus nepieciešamos pasākumus, lai nodrošinātu, ka attiecīgā iestāde novērš konstatēto neatbilstību normatīvajiem aktiem. Latvijas Banka informē attiecīgo citas dalībvalsts iestāžu uzraudzības institūciju par veiktajiem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otro un trešo teikumu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"Veicot nepieciešamos pasākumus, Latvijas Banka nodrošina vienlīdzīgu attieksmi pret Latvijas un citas dalībvalsts iestādes maksājumu pakalpojumu izmantotājiem un elektroniskās naudas turētājiem. Latvijas Banka nekavējoties informē citas dalībvalsts iestāžu uzraudzības institūciju, Eiropas Komisiju un Eiropas Banku iestādi par veiktajiem pasākumiem un 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vārda "otrās" ar skaitli "2.</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97.</w:t>
      </w:r>
      <w:r w:rsidR="00000000" w:rsidRPr="00000000" w:rsidDel="00000000">
        <w:rPr>
          <w:vertAlign w:val="superscript"/>
          <w:rtl w:val="0"/>
        </w:rPr>
        <w:t xml:space="preserve">2</w:t>
      </w:r>
      <w:r w:rsidR="00000000" w:rsidRPr="00000000" w:rsidDel="00000000">
        <w:rPr>
          <w:rtl w:val="0"/>
        </w:rPr>
        <w:t xml:space="preserve"> panta septītās daļas 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97.</w:t>
      </w:r>
      <w:r w:rsidR="00000000" w:rsidRPr="00000000" w:rsidDel="00000000">
        <w:rPr>
          <w:vertAlign w:val="superscript"/>
          <w:rtl w:val="0"/>
        </w:rPr>
        <w:t xml:space="preserve">5</w:t>
      </w:r>
      <w:r w:rsidR="00000000" w:rsidRPr="00000000" w:rsidDel="00000000">
        <w:rPr>
          <w:rtl w:val="0"/>
        </w:rPr>
        <w:t xml:space="preserve"> panta trešās daļas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104.</w:t>
      </w:r>
      <w:r w:rsidR="00000000" w:rsidRPr="00000000" w:rsidDel="00000000">
        <w:rPr>
          <w:vertAlign w:val="superscript"/>
          <w:rtl w:val="0"/>
        </w:rPr>
        <w:t xml:space="preserve">1 </w:t>
      </w:r>
      <w:r w:rsidR="00000000" w:rsidRPr="00000000" w:rsidDel="00000000">
        <w:rPr>
          <w:rtl w:val="0"/>
        </w:rPr>
        <w:t xml:space="preserve">panta trešajā daļā skaitli un vārdu "31. janvārim" ar skaitli un vārdu "1. martam".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23-TA-915</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23-TA-915</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likumprojekts_(grozījumi)_23-TA-915.docx</dc:title>
</cp:coreProperties>
</file>

<file path=docProps/custom.xml><?xml version="1.0" encoding="utf-8"?>
<Properties xmlns="http://schemas.openxmlformats.org/officeDocument/2006/custom-properties" xmlns:vt="http://schemas.openxmlformats.org/officeDocument/2006/docPropsVTypes"/>
</file>