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Vides aizsardzības un reģionālās attīstības ministrijai finansējumu, kas nepārsniedz 54 780 086 </w:t>
      </w:r>
      <w:r w:rsidR="00000000" w:rsidRPr="00000000" w:rsidDel="00000000">
        <w:rPr>
          <w:i w:val="1"/>
          <w:rtl w:val="0"/>
        </w:rPr>
        <w:t xml:space="preserve">euro</w:t>
      </w:r>
      <w:r w:rsidR="00000000" w:rsidRPr="00000000" w:rsidDel="00000000">
        <w:rPr>
          <w:rtl w:val="0"/>
        </w:rPr>
        <w:t xml:space="preserve">, lai segtu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Pašvaldības ir atbildīgas par piešķirto budžeta līdzekļu efektīvu un ekonomisku izlietošanu atbilstoši paredzētajiem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pašvaldību faktiskie izdevumi līdz 2022. gada 31. jūlijam ir mazāki, nekā paredzēts, un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minētais finansējums netiek izmantots pilnā apmērā,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finansējumu drīkst izmantot arī pašvaldību faktisko izdevumu segšanai pēc 2022. gada 31. jūlija atbilstoši šā rīkojuma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16.06.2022. rīkojuma Nr. 432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22-TA-3539</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22-TA-3539</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rīkojuma_konsolidētā_versija_22-TA-3539.docx</dc:title>
</cp:coreProperties>
</file>

<file path=docProps/custom.xml><?xml version="1.0" encoding="utf-8"?>
<Properties xmlns="http://schemas.openxmlformats.org/officeDocument/2006/custom-properties" xmlns:vt="http://schemas.openxmlformats.org/officeDocument/2006/docPropsVTypes"/>
</file>