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8.1.2. specifiskā atbalsta mērķa "Uzlabot vispārējās izglītības iestāžu mācību vidi"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w:t>
      </w:r>
      <w:r>
        <w:br/>
      </w:r>
      <w:r w:rsidR="00000000" w:rsidRPr="00000000" w:rsidDel="00000000">
        <w:rPr>
          <w:rStyle w:val="paragraph"/>
          <w:i w:val="1"/>
          <w:rtl w:val="0"/>
        </w:rPr>
        <w:t xml:space="preserve">struktūrfondu un Kohēzijas fonda </w:t>
      </w:r>
      <w:r>
        <w:br/>
      </w:r>
      <w:r w:rsidR="00000000" w:rsidRPr="00000000" w:rsidDel="00000000">
        <w:rPr>
          <w:rStyle w:val="paragraph"/>
          <w:i w:val="1"/>
          <w:rtl w:val="0"/>
        </w:rPr>
        <w:t xml:space="preserve">2014.–2020. gada plānošanas perioda </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8.1.2. specifiskā atbalsta mērķi "Uzlabot vispārējās izglītības iestāžu mācību vidi"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izglītības infrastruktūras attīstība, lai sekmētu plānoto kompetenču pieejā balstītā vispārējās izglītības satura pakāpenisku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pašvaldību dibinātas vispārējās izglītības iestādes (turpmāk –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 triju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projektu iesniegumu atlases kārta, kuras ietvaros paredzēts modernizēt vispārējās izglītības iestāžu mācību vidi nacionālas nozīmes attīstības centru pašvaldībās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projektu iesniegumu atlases kārta, kuras ietvaros paredzēts modernizēt vispārējās izglītības iestāžu mācību vidi reģionālas nozīmes attīstības centru pašvaldībās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projektu iesniegumu atlases kārta, kuras ietvaros paredzēts modernizēt vispārējās izglītības iestāžu mācību vidi ārpus nacionālas un reģionālas nozīmes attīstības centru pašvaldībām (turpmāk – trešā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23.</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pakalpojumu sniegšanas veiktspēja atbalstītajās vispārējās izglītības iestādēs, ieskaitot tās, kuras īsteno profesionālās izglītības programmas, – 47 206 izglītojamie, tai skaitā 24 406 izglītojamie pirmās atlases kārtas ietvaros (tai skaitā par virssaistību finansējumu – 1 606 izglītojamie), 16 500 izglītojamo otrās atlases kārtas ietvaros un 6 300 izglītojamo trešās atlases kārtas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pilnībā modernizētu vispārējās izglītības iestāžu skaits – 100–115;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rādītāju – izglītojamo īpatsvars, kuriem ir pieejama pilnībā modernizēta vispārējās izglītības mācību vide, kopskaitā – 20–25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rādītāju – līdz 2018. gada 31. decembrim sertificēti izdevumi 49 200 000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pirmo atlases kārtu īsteno atbilstoši Eiropas Savienības struktūrfondu un Kohēzijas fonda 2014.–2020. gada plānošanas perioda vadības likuma 10. panta otrās daļas 17. punktam, vadošajai iestādei slēdzot deleģēšanas līgumu ar Daugavpils, Jelgavas, Jēkabpils, Jūrmalas, Liepājas, Rēzeknes, Rīgas, Valmieras un Ventspils pilsētas pašvaldību.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Daugavpils valstspilsētas pašvaldība, Jelgavas valstspilsētas pašvaldība, Jēkabpils novada pašvaldība, Jūrmalas valstspilsētas pašvaldība, Liepājas valstspilsētas pašvaldība, Rēzeknes valstspilsētas pašvaldība, Rīgas valstspilsētas pašvaldība, Valmieras novada pašvaldība un Ventspils valstspilsētas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 Aizkraukles, Alūksnes, Balvu, Bauskas, Cēsu, Dobeles, Gulbenes, Krāslavas, Kuldīgas, Limbažu, Līvānu, Ludzas, Madonas, Ogres, Preiļu, Saldus, Siguldas, Smiltenes, Talsu, Tukuma un Valkas novada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 Ādažu, Ropažu, Ķekavas, Mārupes un Salaspils novada pašvaldība</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Uzaicinājumu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nosūta pašvaldība, kurai saskaņā ar Eiropas Savienības struktūrfondu un Kohēzijas fonda 2014.–2020. gada plānošanas perioda vadības likuma 10. panta otrās daļas 17. punktu deleģēts nodrošināt integrētu teritoriālo investīciju projektu iesniegumu atlasi pēc pašvaldības attīstības programmas investīciju plāna specifiskā atbalsta projekta idejas saskaņošanas Reģionālās attīstības koordinācijas padomē ne vēlāk kā līdz 2017. gada 16. jūnijam;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nosūta sadarbības iestāde pēc pašvaldības attīstības programmas investīciju plāna specifiskā atbalsta projekta idejas saskaņošanas Reģionālās attīstības koordinācijas padomē;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nosūta sadarbības iestāde pēc pašvaldības attīstības programmas investīciju plāna specifiskā atbalsta projekta idejas koncepta saskaņošanas Reģionālās attīstības koordinācijas padomē;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18.08.2020. noteikumiem Nr. 534)</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tiek atbalstīti projekti, kas paredzēti pašvaldību attīstības programmu investīciju plānos (pirmās un otrās atlases kārtas ietvaros) vai projektu ideju konceptos (trešās atlases kārtas ietvaros), kuri saskaņoti Vides aizsardzības un reģionālās attīstības ministrijas izveidotajā Reģionālās attīstības koordinācijas padomē (turpmāk – koordinācijas padome).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 koordinācijas padomē pamato pašvaldību attīstības programmu investīciju plānos un projektu ideju konceptos paredzēto projektu iespējami efektīvāko ieguldījumu Izglītības attīstības pamatnostādnēs 2014.–2020. gadam noteikto mērķu sasniegšanā, tostarp sniedzot: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iestāžu raksturojumu, ņemot vērā demogrāfisko un ekonomisko situāciju, tendences un prognozes un to pamatotību;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pakalpojuma raksturojumu, pašreizējo un nākotnes vispārējās izglītības iestāžu infrastruktūras (izglītības iestāde, struktūrvienība, dienesta viesnīca, sporta infrastruktūra) tīklu, tā efektivitāti un ilgtspējas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vispārējās izglītības iestāžu infrastruktūras raksturojumu, kurās plānots veikt ieguldījumus specifiskā atbalsta ietvaros, tai skaitā norādot līdzšinējos ieguldījumus, atbilstību šo noteikumu </w:t>
      </w:r>
      <w:r w:rsidR="00000000" w:rsidRPr="00000000" w:rsidDel="00000000">
        <w:rPr>
          <w:rtl w:val="0"/>
        </w:rPr>
        <w:t xml:space="preserve">44.</w:t>
      </w:r>
      <w:r w:rsidR="00000000" w:rsidRPr="00000000" w:rsidDel="00000000">
        <w:rPr>
          <w:rtl w:val="0"/>
        </w:rPr>
        <w:t xml:space="preserve"> punktā minētajiem stratēģiskajiem priekšatlases kritērijiem, kā arī izvērtējot, vai pašvaldībā līdzšinējo un plānoto investīciju rezultātā tiek nodrošināta atbalstāmās vispārējās izglītības iestādes pilna pabeigtība, kas ietver šo noteikumu 23.1., 23.2,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23.6.</w:t>
      </w:r>
      <w:r w:rsidR="00000000" w:rsidRPr="00000000" w:rsidDel="00000000">
        <w:rPr>
          <w:rtl w:val="0"/>
        </w:rPr>
        <w:t xml:space="preserve"> apakšpunktā (attiecināms uz valsts ģimnāzijām) minētās atbalstāmās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projektā paredzēto rezultātu sasniegšanas iespējamību gadījumā, ja netiek īstenotas darbības, kuras atbilstoši šo noteikumu </w:t>
      </w:r>
      <w:r w:rsidR="00000000" w:rsidRPr="00000000" w:rsidDel="00000000">
        <w:rPr>
          <w:rtl w:val="0"/>
        </w:rPr>
        <w:t xml:space="preserve">16.</w:t>
      </w:r>
      <w:r w:rsidR="00000000" w:rsidRPr="00000000" w:rsidDel="00000000">
        <w:rPr>
          <w:rtl w:val="0"/>
        </w:rPr>
        <w:t xml:space="preserve"> punktam paredzētas snieguma rezerves ietvaros (attiecināms uz pirmo atlases kārtu).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Pirmās un otrās atlases kārtas ietvaros projekta iesniedzējs var īstenot sadarbības projektu ar pašvaldību, kas robežojas ar nacionālas vai reģionālas nozīmes attīstības centra pašvaldību un kas projekta īstenošanas laikā paredz sākumskolas izveidi pamatskolas vai vidusskolas reorganizācijas rezultātā.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plānotais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Specifiskajam atbalstam plānotais kopējais attiecināmais finansējums ir ne mazāks kā 161 529 210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137 299 827 </w:t>
      </w:r>
      <w:r w:rsidR="00000000" w:rsidRPr="00000000" w:rsidDel="00000000">
        <w:rPr>
          <w:i w:val="1"/>
          <w:rtl w:val="0"/>
        </w:rPr>
        <w:t xml:space="preserve">euro</w:t>
      </w:r>
      <w:r w:rsidR="00000000" w:rsidRPr="00000000" w:rsidDel="00000000">
        <w:rPr>
          <w:rtl w:val="0"/>
        </w:rPr>
        <w:t xml:space="preserve"> (tai skaitā 4 095 434 </w:t>
      </w:r>
      <w:r w:rsidR="00000000" w:rsidRPr="00000000" w:rsidDel="00000000">
        <w:rPr>
          <w:i w:val="1"/>
          <w:rtl w:val="0"/>
        </w:rPr>
        <w:t xml:space="preserve">euro</w:t>
      </w:r>
      <w:r w:rsidR="00000000" w:rsidRPr="00000000" w:rsidDel="00000000">
        <w:rPr>
          <w:rtl w:val="0"/>
        </w:rPr>
        <w:t xml:space="preserve"> virssaistību finansējums pirmajai atlases kārtai) un nacionālais publiskais līdzfinansējums (pašvaldību finansējums, valsts budžeta dotācija) – ne mazāks kā 24 229 383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Maksimālais attiecināmais Eiropas Reģionālās attīstības fonda finansējuma apmērs nepārsniedz 85 procentus no kopējā projekta attiecināmā finansējuma. Pārējo finansējumu – ne mazāk kā 15 procentus no kopējā projekta attiecināmā finansējuma – veido nacionālais publiskais līdzfinansējums,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Publiskā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plānotais publiskais finansējums ir ne mazāks kā 73 672 166 </w:t>
      </w:r>
      <w:r w:rsidR="00000000" w:rsidRPr="00000000" w:rsidDel="00000000">
        <w:rPr>
          <w:i w:val="1"/>
          <w:rtl w:val="0"/>
        </w:rPr>
        <w:t xml:space="preserve">euro</w:t>
      </w:r>
      <w:r w:rsidR="00000000" w:rsidRPr="00000000" w:rsidDel="00000000">
        <w:rPr>
          <w:rtl w:val="0"/>
        </w:rPr>
        <w:t xml:space="preserve">, tai skaitā Eiropas Reģionālās attīstības fonda finansējums – 62 621 341 </w:t>
      </w:r>
      <w:r w:rsidR="00000000" w:rsidRPr="00000000" w:rsidDel="00000000">
        <w:rPr>
          <w:i w:val="1"/>
          <w:rtl w:val="0"/>
        </w:rPr>
        <w:t xml:space="preserve">euro</w:t>
      </w:r>
      <w:r w:rsidR="00000000" w:rsidRPr="00000000" w:rsidDel="00000000">
        <w:rPr>
          <w:rtl w:val="0"/>
        </w:rPr>
        <w:t xml:space="preserve"> (tai skaitā 4 095 434 </w:t>
      </w:r>
      <w:r w:rsidR="00000000" w:rsidRPr="00000000" w:rsidDel="00000000">
        <w:rPr>
          <w:i w:val="1"/>
          <w:rtl w:val="0"/>
        </w:rPr>
        <w:t xml:space="preserve">euro</w:t>
      </w:r>
      <w:r w:rsidR="00000000" w:rsidRPr="00000000" w:rsidDel="00000000">
        <w:rPr>
          <w:rtl w:val="0"/>
        </w:rPr>
        <w:t xml:space="preserve"> virssaistību finansējums) un nacionālais publiskais finansējums – ne mazāks kā 11 050 825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publiskais finansējums ir ne mazāks kā 72 717 638 </w:t>
      </w:r>
      <w:r w:rsidR="00000000" w:rsidRPr="00000000" w:rsidDel="00000000">
        <w:rPr>
          <w:i w:val="1"/>
          <w:rtl w:val="0"/>
        </w:rPr>
        <w:t xml:space="preserve">euro</w:t>
      </w:r>
      <w:r w:rsidR="00000000" w:rsidRPr="00000000" w:rsidDel="00000000">
        <w:rPr>
          <w:rtl w:val="0"/>
        </w:rPr>
        <w:t xml:space="preserve">, tai skaitā Eiropas Reģionālās attīstības fonda finansējums – 61 809 991 </w:t>
      </w:r>
      <w:r w:rsidR="00000000" w:rsidRPr="00000000" w:rsidDel="00000000">
        <w:rPr>
          <w:i w:val="1"/>
          <w:rtl w:val="0"/>
        </w:rPr>
        <w:t xml:space="preserve">euro</w:t>
      </w:r>
      <w:r w:rsidR="00000000" w:rsidRPr="00000000" w:rsidDel="00000000">
        <w:rPr>
          <w:rtl w:val="0"/>
        </w:rPr>
        <w:t xml:space="preserve"> un nacionālais publiskais finansējums – ne mazāks kā 10 907 647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publiskais finansējums ir ne mazāks kā 15 139 406 </w:t>
      </w:r>
      <w:r w:rsidR="00000000" w:rsidRPr="00000000" w:rsidDel="00000000">
        <w:rPr>
          <w:i w:val="1"/>
          <w:rtl w:val="0"/>
        </w:rPr>
        <w:t xml:space="preserve">euro</w:t>
      </w:r>
      <w:r w:rsidR="00000000" w:rsidRPr="00000000" w:rsidDel="00000000">
        <w:rPr>
          <w:rtl w:val="0"/>
        </w:rPr>
        <w:t xml:space="preserve">, tai skaitā Eiropas Reģionālās attīstības fonda finansējums – 12 868 495 </w:t>
      </w:r>
      <w:r w:rsidR="00000000" w:rsidRPr="00000000" w:rsidDel="00000000">
        <w:rPr>
          <w:i w:val="1"/>
          <w:rtl w:val="0"/>
        </w:rPr>
        <w:t xml:space="preserve">euro</w:t>
      </w:r>
      <w:r w:rsidR="00000000" w:rsidRPr="00000000" w:rsidDel="00000000">
        <w:rPr>
          <w:rtl w:val="0"/>
        </w:rPr>
        <w:t xml:space="preserve"> un nacionālais publiskais finansējums – ne mazāks kā 2 270 911 </w:t>
      </w:r>
      <w:r w:rsidR="00000000" w:rsidRPr="00000000" w:rsidDel="00000000">
        <w:rPr>
          <w:i w:val="1"/>
          <w:rtl w:val="0"/>
        </w:rPr>
        <w:t xml:space="preserve">euro.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Pirmajā atlases kārtā līdz 2018. gada 31. decembrim plāno ne vairāk kā 59 129 562 </w:t>
      </w:r>
      <w:r w:rsidR="00000000" w:rsidRPr="00000000" w:rsidDel="00000000">
        <w:rPr>
          <w:i w:val="1"/>
          <w:rtl w:val="0"/>
        </w:rPr>
        <w:t xml:space="preserve">euro</w:t>
      </w:r>
      <w:r w:rsidR="00000000" w:rsidRPr="00000000" w:rsidDel="00000000">
        <w:rPr>
          <w:rtl w:val="0"/>
        </w:rPr>
        <w:t xml:space="preserve"> no Eiropas Reģionālās attīstības fonda finansējuma (tai skaitā virssaistību finansējums 4 095 434 </w:t>
      </w:r>
      <w:r w:rsidR="00000000" w:rsidRPr="00000000" w:rsidDel="00000000">
        <w:rPr>
          <w:i w:val="1"/>
          <w:rtl w:val="0"/>
        </w:rPr>
        <w:t xml:space="preserve">euro</w:t>
      </w:r>
      <w:r w:rsidR="00000000" w:rsidRPr="00000000" w:rsidDel="00000000">
        <w:rPr>
          <w:rtl w:val="0"/>
        </w:rPr>
        <w:t xml:space="preserve">) un ne mazāk kā 10 434 629 </w:t>
      </w:r>
      <w:r w:rsidR="00000000" w:rsidRPr="00000000" w:rsidDel="00000000">
        <w:rPr>
          <w:i w:val="1"/>
          <w:rtl w:val="0"/>
        </w:rPr>
        <w:t xml:space="preserve">euro</w:t>
      </w:r>
      <w:r w:rsidR="00000000" w:rsidRPr="00000000" w:rsidDel="00000000">
        <w:rPr>
          <w:rtl w:val="0"/>
        </w:rPr>
        <w:t xml:space="preserve"> no nacionālā publiskā finansējuma. Projekta iesniegumā snieguma rezervei noteikto finansējumu 6,1 procenta apmērā projekta iesniedzējs var paredzēt no saviem līdzekļiem. Pēc Eiropas Komisijas lēmuma par prioritārajam virzienam "Izglītība, prasmes un mūžizglītība" noteiktā snieguma ietvara izpildi projekta ietvaros palielina Eiropas Reģionālās attīstības fonda finansējuma un nacionālā publiskā līdzfinansējuma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277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18.08.2020. noteikumiem Nr. 534)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Pirmās atlases kārtas Eiropas Reģionālās attīstības fonda finansējums ir pieejams integrēto teritoriālo investīciju ieviešanā nacionālas nozīmes centru integrētai pilsētvides attīstībai atbilstoši 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7. panta 4.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8.1.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valstspilsētas pašvaldība – 4 525 000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Jelgavas valstspilsētas pašvaldība – 6 696 748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Jēkabpils novada pašvaldība – 5 997 564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 – 6 471 654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valstspilsētas pašvaldība – 8 816 059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valstspilsētas pašvaldība – 5 527 654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valstspilsētas pašvaldība – 15 056 544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Valmieras novada pašvaldība – 5 430 673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valstspilsētas pašvaldība – 4 099 445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8.2.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 – 1 564 280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 – 2 325 582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Balvu novada pašvaldība – 2 530 399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pašvaldība – 3 387 334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pašvaldība – 4 629 193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Dobeles novada pašvaldība – 3 424 814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Gulbenes novada pašvaldība – 3 025 873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Krāslavas novada pašvaldība – 2 657 611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Kuldīgas novada pašvaldība – 3 493 257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Limbažu novada pašvaldība – 1 361 380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Līvānu novada pašvaldība – 1 359 663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Ludzas novada pašvaldība – 1 986 963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Madonas novada pašvaldība – 3 629 094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Ogres novada pašvaldība – 6 939 088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Preiļu novada pašvaldība – 1 767 134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novada pašvaldība – 3 437 043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Siguldas novada pašvaldība – 2 988 570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Smiltenes novada pašvaldība – 1 874 931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Talsu novada pašvaldība – 3 673 940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Tukuma novada pašvaldība – 4 507 512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Valkas novada pašvaldība – 1 246 330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 minētajām pašvaldībām maksimāli plānotais Eiropas Reģionālās attīstības fonda finansējums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 – 3 598 541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 – 1 053 330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 – 3 178 193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 – 2 778 494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Salaspils novada pašvaldība – 2 259 937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23.11.2021. noteikumu Nr. 770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18.08.2020. noteikumiem Nr. 534)</w:t>
      </w:r>
      <w:r w:rsidR="00000000" w:rsidRPr="00000000" w:rsidDel="00000000">
        <w:rPr>
          <w:i w:val="1"/>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komunikāciju tehnoloģiju risinājumu ieviešana un aprīkojuma iegāde;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dabaszinātņu (fizika, ķīmija, bioloģija) un matemātikas kabinetu iekārtošana pamatizglītības programmas īstenošanai (7.–9. klase) un jaunu dabaszinātņu (fizika, ķīmija, bioloģija) un matemātikas kabinetu iekārtošana vispārējās vidējās izglītības programmas īstenošanai (10.–12. klase), ja, palielinoties izglītojamo skaitam, ir pamatota minēto kabinetu nepietiekamība, tai skaitā jaunas izglītības iestādes ēkas vai ēkas piebūves būvniecības vai vispārējās izglītības iestādes reorganizācijas gadījumā, vai ja vispārējās vidējās izglītības iestāde izveidota reorganizācijas rezultātā;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sporta infrastruktūras būvniecība (valsts ģimnāzijām, ģimnāzijām, vidusskolām, pamatskolām);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dienesta viesnīcas, internāta būvniecība (valsts ģimnāzijām, ģimnāzijām, vidusskolām);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reģionālā metodiskā centra attīstība (valsts ģimnāzijām);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ietvaros ir atbalstāmas darbības, kas minētas šo noteikumu </w:t>
      </w:r>
      <w:r w:rsidR="00000000" w:rsidRPr="00000000" w:rsidDel="00000000">
        <w:rPr>
          <w:rtl w:val="0"/>
        </w:rPr>
        <w:t xml:space="preserve">23.</w:t>
      </w:r>
      <w:r w:rsidR="00000000" w:rsidRPr="00000000" w:rsidDel="00000000">
        <w:rPr>
          <w:rtl w:val="0"/>
        </w:rPr>
        <w:t xml:space="preserve"> punktā un sekmē šo noteikumu </w:t>
      </w:r>
      <w:r w:rsidR="00000000" w:rsidRPr="00000000" w:rsidDel="00000000">
        <w:rPr>
          <w:rtl w:val="0"/>
        </w:rPr>
        <w:t xml:space="preserve">2.</w:t>
      </w:r>
      <w:r w:rsidR="00000000" w:rsidRPr="00000000" w:rsidDel="00000000">
        <w:rPr>
          <w:rtl w:val="0"/>
        </w:rPr>
        <w:t xml:space="preserve"> punktā minētā specifiskā atbalsta mērķa un šo noteikumu </w:t>
      </w:r>
      <w:r w:rsidR="00000000" w:rsidRPr="00000000" w:rsidDel="00000000">
        <w:rPr>
          <w:rtl w:val="0"/>
        </w:rPr>
        <w:t xml:space="preserve">6.</w:t>
      </w:r>
      <w:r w:rsidR="00000000" w:rsidRPr="00000000" w:rsidDel="00000000">
        <w:rPr>
          <w:rtl w:val="0"/>
        </w:rPr>
        <w:t xml:space="preserve"> punktā minēto uzraudzības rādītāju sasniegšanu, nodrošinot Izglītības attīstības pamatnostādnēs 2014.–2020. gadam noteikto izaicinājumu un problēmu risināšanu. Projektu ietvaros ir atbalstāma vides prasību integrācija preču, pakalpojumu un būvdarbu iepirkumos (zaļais publiskais iepirkums). Finansējuma saņēmējs projekta īstenošanai nepieciešamās preces, pakalpojumus un būvdarbus iegādājas atklātā, pārredzamā, nediskriminējošā un konkurenci nodrošinošā procedūrā saskaņā ar normatīvajiem aktiem iepirkuma procedūras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23.11.2021. noteikumiem Nr. 770)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plāno šādus izmaksu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veicamo darbību realizācijai un projekta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23.7.</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projekta īstenošanas izmaksas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jaunas ēkas būvniecības (tai skaitā ēkas piebūves) un ēkas pilna apjoma pārbūves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 ievērojot šādus nosacījumus: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 paredzēti telpu (klašu, auditoriju, mācību laboratoriju, tai skaitā multifunkcionālu mācību telpu, bibliotēku un lasītavu) pārbūvei un atjaunošanai;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 paredzēti gaiteņu un sanitāro mezglu pārbūvei un atjaunošanai, ja tiek īstenoti šo noteikumu </w:t>
      </w:r>
      <w:r w:rsidR="00000000" w:rsidRPr="00000000" w:rsidDel="00000000">
        <w:rPr>
          <w:rtl w:val="0"/>
        </w:rPr>
        <w:t xml:space="preserve">26.2.2.1.</w:t>
      </w:r>
      <w:r w:rsidR="00000000" w:rsidRPr="00000000" w:rsidDel="00000000">
        <w:rPr>
          <w:rtl w:val="0"/>
        </w:rPr>
        <w:t xml:space="preserve"> apakšpunktā minētie pasākumi;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 iekšējo elektrotīklu, apkures sistēmu, vēdināšanas un gaisa kondicionēšanas sistēmu, ūdensvada tīklu, kanalizācijas tīklu, automātisko ugunsgrēka atklāšanas, trauksmes signalizācijas un automātiskās balss ugunsgrēka izziņošanas sistēmu – izbūves un pārbūves izmaksas. Minētās izmaksas, izņemot vēdināšanas un gaisa kondicionēšanas sistēmu izbūves un pārbūves izmaksas, nepārsniedz 25 procentus no šo noteikumu 26.2.2.1. un 26.2.2.2. apakšpunktā minētajām būvdarbu attiecināmajām izmaksām. Ja projekta īstenošanas rezultātā paredzēta visu projektā atbalstāmās vispārējās izglītības iestādes klašu telpu mācību vides uzlabošana, iekšējo inženiertīklu izbūves un pārbūves izmaksas, izņemot vēdināšanas un gaisa kondicionēšanas sistēmu izbūves un pārbūves izmaksas, nepārsniedz 25 procentus no projekta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bezvadu interneta un interneta pieslēguma izveides izmaksas, mācību procesa nodrošināšanai nepieciešamā aprīkojuma un programmatūras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jaunu dabaszinātņu (ķīmijas, bioloģijas, fizikas) un matemātikas kabinetu (tai skaitā praktisko darbu telpu) izveide, tai skaitā telpu pārbūves, atjaunošanas un iekārtošanas izmaksas, mēbeļu, mācību iekārtu, tehnisko ierīču un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priekšmeta "Sports" nodrošināšanai nepieciešamā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sporta zāles (tai skaitā multifunkcionālas jaunas ēkas) būvniecības izmaksas, sporta laukuma, sporta zāles (tai skaitā multifunkcionālas) vai baseina, ģērbtuvju un dušas telpu pārbūves un atjaunošanas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 dienesta viesnīcas vai internāta būvniecības, pārbūves un atjaunošanas izmaksas un tās darbības (dzīvojamo un mācību telpu, virtuves, sanitāro mezglu, dušas telpu) nodrošināšanai nepieciešamā aprīkojuma un mēbeļu iegādes izmaksas, nepārsniedzot 40 procentus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ģimnāzijas reģionālā metodiskā centra attīstības izmaksas, tai skaitā ēkas piebūves, ēku un telpu pārbūves un atjaunošanas, un mēbeļu iegādes izmaksas, bibliotēkas fondu papildināšana, digitālo mācību grāmatu iegāde, informācijas un komunikācijas tehnoloģiju risinājumu ieviešanas izmaksas, tai skaitā tiešsaistes komunikācijas aprīkojuma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26.2.1. apakšpunktā minētās ēkas būvniecības vai pārbūves vai šo noteikumu 26.2.7. apakšpunktā minētās sporta zāles būvniecības būvprojektā norādītās labiekārtošanas izmaksas, kas nepārsniedz trīs procentus no projektā plānotajām būvdarbu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būvprojekta, tai skaitā būvprojekta minimālās stadijas, izstrādes vai aktualizēšanas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un energosertifikācijas veikšanas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23.8.</w:t>
      </w:r>
      <w:r w:rsidR="00000000" w:rsidRPr="00000000" w:rsidDel="00000000">
        <w:rPr>
          <w:rtl w:val="0"/>
        </w:rPr>
        <w:t xml:space="preserve"> apakšpunktā minēto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 MK 18.08.2020. noteikumiem Nr. 534; MK 01.04.2021. noteikumiem Nr. 203)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rtl w:val="0"/>
        </w:rPr>
        <w:t xml:space="preserve"> apakšpunktā minētās jaunas ēkas būvniecība atbalstāma, ja pašvaldības attīstības programmā ir pamatota nepieciešamība – izglītojamo skaita palielinājums un esošās infrastruktūras nepietiekamība, vienlaikus izvērtējot, vai pašvaldības rīcībā nav citas infrastruktūras, kas varētu tikt izmantota izglītības iestādes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26.2.1.</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un </w:t>
      </w:r>
      <w:r w:rsidR="00000000" w:rsidRPr="00000000" w:rsidDel="00000000">
        <w:rPr>
          <w:rtl w:val="0"/>
        </w:rPr>
        <w:t xml:space="preserve">26.2.9.</w:t>
      </w:r>
      <w:r w:rsidR="00000000" w:rsidRPr="00000000" w:rsidDel="00000000">
        <w:rPr>
          <w:rtl w:val="0"/>
        </w:rPr>
        <w:t xml:space="preserve"> apakšpunktā minētās izmaksas projekta iesniegumā nav mazākas par 50 procentiem no projekta kopējām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26.2.7. apakšpunktā minētās sporta laukuma pārbūves vai atjaunošanas izmaksas plāno, ja sporta laukums nepieciešams vairākām izglītības iestādēm (vai tās apvienotas pēc 2013. gada 1. septembra) vai vispārējās izglītības iestādei ar audzēkņu skaitu, lielāku par 1000.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26.2.7.</w:t>
      </w:r>
      <w:r w:rsidR="00000000" w:rsidRPr="00000000" w:rsidDel="00000000">
        <w:rPr>
          <w:rtl w:val="0"/>
        </w:rPr>
        <w:t xml:space="preserve"> apakšpunktā minētās baseina pārbūves un atjaunošanas izmaksas plāno, ja baseins nepieciešams vismaz divām izglītības iestādēm (vai tās apvienotas pēc 2013. gada 1. septembra) un ir pārbūvējamās vai atjaunojamās ēkas neatņemama sastāvdaļa.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26.2.8.</w:t>
      </w:r>
      <w:r w:rsidR="00000000" w:rsidRPr="00000000" w:rsidDel="00000000">
        <w:rPr>
          <w:rtl w:val="0"/>
        </w:rPr>
        <w:t xml:space="preserve"> apakšpunktā minētās dienesta viesnīcas, internāta būvniecības, pārbūves un atjaunošanas izmaksas plāno, ja dienesta viesnīca vai internāts nepieciešams vismaz divām izglītības iestādēm (vai tās apvienotas pēc 2013. gada 1. septembra).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25.2.</w:t>
      </w:r>
      <w:r w:rsidR="00000000" w:rsidRPr="00000000" w:rsidDel="00000000">
        <w:rPr>
          <w:rtl w:val="0"/>
        </w:rPr>
        <w:t xml:space="preserve"> apakšpunktā minētās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26.1.</w:t>
      </w:r>
      <w:r w:rsidR="00000000" w:rsidRPr="00000000" w:rsidDel="00000000">
        <w:rPr>
          <w:rtl w:val="0"/>
        </w:rPr>
        <w:t xml:space="preserve"> apakšpunktā minētajām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25.3.</w:t>
      </w:r>
      <w:r w:rsidR="00000000" w:rsidRPr="00000000" w:rsidDel="00000000">
        <w:rPr>
          <w:rtl w:val="0"/>
        </w:rPr>
        <w:t xml:space="preserve"> apakšpunktā minētās neparedzētās izmaksas ir izmaksas papildu darbu veikšanai vai pakalpojumu sniegšanai, kas neparedzamu apstākļu dēļ ir kļuvuši nepieciešami, lai nodrošinātu vienošanās par projekta īstenošanu izpildi. Neparedzēto izmaksu izmantošanu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Neparedzētās izmaksas projektā plāno kā vienu izmaksu pozīciju, kas nepārsniedz piecus procentus no kopējām projekta tiešajām attiecināmajām izmaksām, un tās var izmantot šo noteikumu 26.2.1.–</w:t>
      </w:r>
      <w:r w:rsidR="00000000" w:rsidRPr="00000000" w:rsidDel="00000000">
        <w:rPr>
          <w:rtl w:val="0"/>
        </w:rPr>
        <w:t xml:space="preserve">26.2.11.</w:t>
      </w:r>
      <w:r w:rsidR="00000000" w:rsidRPr="00000000" w:rsidDel="00000000">
        <w:rPr>
          <w:rtl w:val="0"/>
        </w:rPr>
        <w:t xml:space="preserve"> apakšpunktā minēto izmaksu segšanai.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25.1.</w:t>
      </w:r>
      <w:r w:rsidR="00000000" w:rsidRPr="00000000" w:rsidDel="00000000">
        <w:rPr>
          <w:rtl w:val="0"/>
        </w:rPr>
        <w:t xml:space="preserve"> apakšpunktā minētās tiešās attiecināmās personāla izmaksas, finansējuma saņēmējs nodrošina, ka projekta vadības un īstenošanas personāls ir nodarbināts pilnu darba laiku vai nepilnu darba laiku ne mazāk kā 30 procentu apmērā no normālā darba laika, attiecīgi veicot projekta vadības un īstenošanas personāla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Tiešajām projekta vadības personāla izmaksām ir šādi izmaksu ierobežojumi: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vai lielākas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bet neieskaitot tiešās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darbību īstenošanas laiks nav pilni gadi, tad par nepilno gadu izmaksu ierobežojumu aprēķina proporcionāli projekta darbību īstenošanas pilnu mēnešu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26.2.11.</w:t>
      </w:r>
      <w:r w:rsidR="00000000" w:rsidRPr="00000000" w:rsidDel="00000000">
        <w:rPr>
          <w:rtl w:val="0"/>
        </w:rPr>
        <w:t xml:space="preserve">, </w:t>
      </w:r>
      <w:r w:rsidR="00000000" w:rsidRPr="00000000" w:rsidDel="00000000">
        <w:rPr>
          <w:rtl w:val="0"/>
        </w:rPr>
        <w:t xml:space="preserve">26.2.12.</w:t>
      </w:r>
      <w:r w:rsidR="00000000" w:rsidRPr="00000000" w:rsidDel="00000000">
        <w:rPr>
          <w:rtl w:val="0"/>
        </w:rPr>
        <w:t xml:space="preserve"> un </w:t>
      </w:r>
      <w:r w:rsidR="00000000" w:rsidRPr="00000000" w:rsidDel="00000000">
        <w:rPr>
          <w:rtl w:val="0"/>
        </w:rPr>
        <w:t xml:space="preserve">26.2.13.</w:t>
      </w:r>
      <w:r w:rsidR="00000000" w:rsidRPr="00000000" w:rsidDel="00000000">
        <w:rPr>
          <w:rtl w:val="0"/>
        </w:rPr>
        <w:t xml:space="preserve"> apakšpunktā minētās tiešās attiecināmās izmaksas, finansējuma saņēmējs nodrošina, ka tās kopsummā nepārsniedz 10 procentus no projekta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18.08.2020. noteikumiem Nr. 534)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Slēdzot pakalpojuma (uzņēmuma) līgumus, darba devēja valsts sociālās apdrošināšanas obligāto iemaksu izmaksas ir attiecināmas, ja pakalpojuma sniedzējs ir fiziska persona un tā nav reģistrējusies Valsts ieņēmumu dienestā kā pašnodarbināta persona vai ja pakalpojuma sniedzējs ir reģistrēts Valsts ieņēmumu dienestā kā specifiskā atbalsta finansējuma saņēmēja darba ņēmējs.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uzskatāms par attiecināmajām izmaksām, ja tas nav atmaksājams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izmaksas ir attiecināmas no šo noteikumu spēkā stāšanas dienas, izņemot šo noteikumu </w:t>
      </w:r>
      <w:r w:rsidR="00000000" w:rsidRPr="00000000" w:rsidDel="00000000">
        <w:rPr>
          <w:rtl w:val="0"/>
        </w:rPr>
        <w:t xml:space="preserve">26.2.12.</w:t>
      </w:r>
      <w:r w:rsidR="00000000" w:rsidRPr="00000000" w:rsidDel="00000000">
        <w:rPr>
          <w:rtl w:val="0"/>
        </w:rPr>
        <w:t xml:space="preserve"> vai </w:t>
      </w:r>
      <w:r w:rsidR="00000000" w:rsidRPr="00000000" w:rsidDel="00000000">
        <w:rPr>
          <w:rtl w:val="0"/>
        </w:rPr>
        <w:t xml:space="preserve">26.2.13.</w:t>
      </w:r>
      <w:r w:rsidR="00000000" w:rsidRPr="00000000" w:rsidDel="00000000">
        <w:rPr>
          <w:rtl w:val="0"/>
        </w:rPr>
        <w:t xml:space="preserve"> apakšpunktā minētās izmaksas, kas ir attiecināmas, ja tās veiktas, sākot ar 2014. gada 1. janvāri.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punktā minētajām izmaksām piemēro netiešo izmaksu vienotās likmes metodi, neiesniedzot sadarbības iestādei izmaksu pamatojošos dokumentus par netiešo izmaksu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neattiecināmās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26.2.2.3.</w:t>
      </w:r>
      <w:r w:rsidR="00000000" w:rsidRPr="00000000" w:rsidDel="00000000">
        <w:rPr>
          <w:rtl w:val="0"/>
        </w:rPr>
        <w:t xml:space="preserve">, </w:t>
      </w:r>
      <w:r w:rsidR="00000000" w:rsidRPr="00000000" w:rsidDel="00000000">
        <w:rPr>
          <w:rtl w:val="0"/>
        </w:rPr>
        <w:t xml:space="preserve">26.2.7.</w:t>
      </w:r>
      <w:r w:rsidR="00000000" w:rsidRPr="00000000" w:rsidDel="00000000">
        <w:rPr>
          <w:rtl w:val="0"/>
        </w:rPr>
        <w:t xml:space="preserve">, </w:t>
      </w:r>
      <w:r w:rsidR="00000000" w:rsidRPr="00000000" w:rsidDel="00000000">
        <w:rPr>
          <w:rtl w:val="0"/>
        </w:rPr>
        <w:t xml:space="preserve">26.2.8.</w:t>
      </w:r>
      <w:r w:rsidR="00000000" w:rsidRPr="00000000" w:rsidDel="00000000">
        <w:rPr>
          <w:rtl w:val="0"/>
        </w:rPr>
        <w:t xml:space="preserve"> un </w:t>
      </w:r>
      <w:r w:rsidR="00000000" w:rsidRPr="00000000" w:rsidDel="00000000">
        <w:rPr>
          <w:rtl w:val="0"/>
        </w:rPr>
        <w:t xml:space="preserve">26.2.10.</w:t>
      </w:r>
      <w:r w:rsidR="00000000" w:rsidRPr="00000000" w:rsidDel="00000000">
        <w:rPr>
          <w:rtl w:val="0"/>
        </w:rPr>
        <w:t xml:space="preserve"> apakšpunktā un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 punktā minētos izmaksu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ir tieši saistītas ar projektu, bet nav minētas šo noteikumu 26. punktā, – būvprojektā norādītās būvniecības izmaksas (tai skaitā teritorijas labiekārtošana, kāpņu telpu, palīgtelpu, ģērbtuvju, administrācijas telpu, jumta, starpkorpusu pārejas, virtuves bloka un ēdamzāles pārbūve un atjaunošana, fasādes siltināšana) šo noteikumu 26.2.2. apakšpunktā minētajos gadījumos, aprīkojuma iegādes izmaksas, kas nepieciešamas izglītības iestādes darbības nodrošināšanai, un izmaksas, kas neatbilst šo noteikumu 29., 30. vai 31.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Specifiskā atbalsta ietvaros atbalsts tiek sniegts šādiem stratēģiskiem priekšatlases kritērijiem atbilstošām vispārējās 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vai novados, kas veido Eiropas Savienības ārējo pierobežu, izglītojamo skaits 7.–12. klasē ir vismaz 200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sākumskolai, ja tā izveidota pamatskolas vai vidusskolas reorganizācijas rezultātā, tai skaitā, ja reorganizācija veikta pēc 2013. gada 1. septembra;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ģimnāzijai, ja valsts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vidusskolai, ja izglītojamo skaits 7.–12. klasē ir vismaz 240, vai novados, kas veido Eiropas Savienības ārējo pierobežu, izglītojamo skaits 7.–12. klasē ir vismaz 200 un tiek īstenoti padziļinātie kursi matemātikas, dabaszinātņu un tehnoloģiju mācību jomas priekšmetos;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ģimnāzijai, ja ģimnāzijas statuss izglītības iestādei ir piešķirts saskaņā ar normatīvajiem aktiem par ģimnāzijas un valsts ģimnāzijas statusa piešķiršanas un anulēšanas kārtību un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pamatskolai, ja izglītojamo skaits ir vismaz 200, vai novados, kas veido Eiropas Savienības ārējo pierobežu, izglītojamo skaits ir vismaz 150, tai skaitā pamatskolai, ja tā izveidota reorganizācijas rezultātā, pārveidojot vidusskolu par pamatskolu vai apvienojot vismaz divas izglītības iestādes pēc 2013. gada 1. septembra;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sākumskolai, ja tā izveidota pamatskolas vai vidusskolas reorganizācijas rezultātā, tai skaitā, ja reorganizācija veikta pēc 2013. gada, veidojot divu vai vairāku pašvaldību stratēģisko partnerību.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18.08.2020. noteikumiem Nr. 534; MK 01.04.2021. noteikumiem Nr. 203)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01.04.2021. noteikumiem Nr. 203)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Atbalsts šo noteikumu 44. punktā minētajām izglītības iestādēm var tikt paredzēts, ja tās atbilst kādam no stratēģiskajiem priekšatlases kritērijiem projekta iesniegšanas dienā vai projekta noslēgumā un vismaz piecus gadus pēc projekta pabeigšanas.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01.04.2021. noteikumu Nr. 203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44.2.5.</w:t>
      </w:r>
      <w:r w:rsidR="00000000" w:rsidRPr="00000000" w:rsidDel="00000000">
        <w:rPr>
          <w:rtl w:val="0"/>
        </w:rPr>
        <w:t xml:space="preserve"> un </w:t>
      </w:r>
      <w:r w:rsidR="00000000" w:rsidRPr="00000000" w:rsidDel="00000000">
        <w:rPr>
          <w:rtl w:val="0"/>
        </w:rPr>
        <w:t xml:space="preserve">44.3.5.</w:t>
      </w:r>
      <w:r w:rsidR="00000000" w:rsidRPr="00000000" w:rsidDel="00000000">
        <w:rPr>
          <w:rtl w:val="0"/>
        </w:rPr>
        <w:t xml:space="preserve"> apakšpunktā minētajai sākumskolai var paredzēt tikai papildus kādai no šo noteikumu </w:t>
      </w:r>
      <w:r w:rsidR="00000000" w:rsidRPr="00000000" w:rsidDel="00000000">
        <w:rPr>
          <w:rtl w:val="0"/>
        </w:rPr>
        <w:t xml:space="preserve">44.2.1.</w:t>
      </w:r>
      <w:r w:rsidR="00000000" w:rsidRPr="00000000" w:rsidDel="00000000">
        <w:rPr>
          <w:rtl w:val="0"/>
        </w:rPr>
        <w:t xml:space="preserve">, </w:t>
      </w:r>
      <w:r w:rsidR="00000000" w:rsidRPr="00000000" w:rsidDel="00000000">
        <w:rPr>
          <w:rtl w:val="0"/>
        </w:rPr>
        <w:t xml:space="preserve">44.2.2.</w:t>
      </w:r>
      <w:r w:rsidR="00000000" w:rsidRPr="00000000" w:rsidDel="00000000">
        <w:rPr>
          <w:rtl w:val="0"/>
        </w:rPr>
        <w:t xml:space="preserve">, </w:t>
      </w:r>
      <w:r w:rsidR="00000000" w:rsidRPr="00000000" w:rsidDel="00000000">
        <w:rPr>
          <w:rtl w:val="0"/>
        </w:rPr>
        <w:t xml:space="preserve">44.2.3.</w:t>
      </w:r>
      <w:r w:rsidR="00000000" w:rsidRPr="00000000" w:rsidDel="00000000">
        <w:rPr>
          <w:rtl w:val="0"/>
        </w:rPr>
        <w:t xml:space="preserve">, </w:t>
      </w:r>
      <w:r w:rsidR="00000000" w:rsidRPr="00000000" w:rsidDel="00000000">
        <w:rPr>
          <w:rtl w:val="0"/>
        </w:rPr>
        <w:t xml:space="preserve">44.2.4.</w:t>
      </w:r>
      <w:r w:rsidR="00000000" w:rsidRPr="00000000" w:rsidDel="00000000">
        <w:rPr>
          <w:rtl w:val="0"/>
        </w:rPr>
        <w:t xml:space="preserve"> apakšpunktā vai šo noteikumu </w:t>
      </w:r>
      <w:r w:rsidR="00000000" w:rsidRPr="00000000" w:rsidDel="00000000">
        <w:rPr>
          <w:rtl w:val="0"/>
        </w:rPr>
        <w:t xml:space="preserve">44.3.1.</w:t>
      </w:r>
      <w:r w:rsidR="00000000" w:rsidRPr="00000000" w:rsidDel="00000000">
        <w:rPr>
          <w:rtl w:val="0"/>
        </w:rPr>
        <w:t xml:space="preserve">, </w:t>
      </w:r>
      <w:r w:rsidR="00000000" w:rsidRPr="00000000" w:rsidDel="00000000">
        <w:rPr>
          <w:rtl w:val="0"/>
        </w:rPr>
        <w:t xml:space="preserve">44.3.2.</w:t>
      </w:r>
      <w:r w:rsidR="00000000" w:rsidRPr="00000000" w:rsidDel="00000000">
        <w:rPr>
          <w:rtl w:val="0"/>
        </w:rPr>
        <w:t xml:space="preserve">, </w:t>
      </w:r>
      <w:r w:rsidR="00000000" w:rsidRPr="00000000" w:rsidDel="00000000">
        <w:rPr>
          <w:rtl w:val="0"/>
        </w:rPr>
        <w:t xml:space="preserve">44.3.3.</w:t>
      </w:r>
      <w:r w:rsidR="00000000" w:rsidRPr="00000000" w:rsidDel="00000000">
        <w:rPr>
          <w:rtl w:val="0"/>
        </w:rPr>
        <w:t xml:space="preserve"> un </w:t>
      </w:r>
      <w:r w:rsidR="00000000" w:rsidRPr="00000000" w:rsidDel="00000000">
        <w:rPr>
          <w:rtl w:val="0"/>
        </w:rPr>
        <w:t xml:space="preserve">44.3.4.</w:t>
      </w:r>
      <w:r w:rsidR="00000000" w:rsidRPr="00000000" w:rsidDel="00000000">
        <w:rPr>
          <w:rtl w:val="0"/>
        </w:rPr>
        <w:t xml:space="preserve"> apakšpunktā minētajām izglītības iestādēm.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(tai skaitā sporta infrastruktūrā, dienesta viesnīcā (internātā)) pamatlīdzekļu un ilgtermiņa ieguldījumu amortizācijas periodā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iestāde projekta īstenošanas laikā un projekta infrastruktūras amortizācijas periodā nodrošina uzraudzību par investīciju atbilstību šo noteikumu 47.</w:t>
      </w:r>
      <w:r w:rsidR="00000000" w:rsidRPr="00000000" w:rsidDel="00000000">
        <w:rPr>
          <w:vertAlign w:val="superscript"/>
          <w:rtl w:val="0"/>
        </w:rPr>
        <w:t xml:space="preserve">1</w:t>
      </w:r>
      <w:r w:rsidR="00000000" w:rsidRPr="00000000" w:rsidDel="00000000">
        <w:rPr>
          <w:rtl w:val="0"/>
        </w:rPr>
        <w:t xml:space="preserve"> punktā minētajiem nosacījumiem saskaņā ar atbildīgās iestādes izstrādāto papildinošās saimnieciskās darbības uzraudzības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sadarbības iestāde konstatē, ka ir pārkāptas šajos noteikumos noteiktās komercdarbības atbalsta kontroles normas, finansējuma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Ieņēmumi, ja tādi rodas no projekta ietvaros radītās infrastruktūras izmantošanas, tiek novirzīti vispārējās izglītības procesa nodrošināšanai.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26.2.2.</w:t>
      </w:r>
      <w:r w:rsidR="00000000" w:rsidRPr="00000000" w:rsidDel="00000000">
        <w:rPr>
          <w:rtl w:val="0"/>
        </w:rPr>
        <w:t xml:space="preserve"> apakšpunktā minētās ēkas pārbūves vai atjaunošanas izmaksas, projekta iesniedzējs projekta iesniegumā norāda enerģijas patēriņu pirms projekta īstenošanas (megavatstundās). Finansējuma saņēmējam ir pienākums informēt sadarbības iestādi par enerģijas patēriņu pēc projekta īstenošanas (megavatstundās).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30.05.2017. noteikumiem Nr. 277)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uzkrāj datus par projekta ietekmi uz specifisko iznākuma rādītāju "Izglītības iestāžu skaits, kurās veikti ieguldījumi sporta infrastruktūras sakārtošanai" un horizontālā principa "Vienlīdzīgas iespējas" rādītāju "Objektu skaits, kuros Eiropas Reģionālās attīstības fonda ieguldījumu rezultātā ir nodrošināta vides un informācijas pieejamība".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projekts paredz sadarbību: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iesniedz projekta iesniedzējs, kas atbilst šo noteikumu </w:t>
      </w:r>
      <w:r w:rsidR="00000000" w:rsidRPr="00000000" w:rsidDel="00000000">
        <w:rPr>
          <w:rtl w:val="0"/>
        </w:rPr>
        <w:t xml:space="preserve">8.1.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apakšpunktā minētajiem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projekta finansējums, katra sadarbības partnera projekta daļas finansējums un katra sadarbības partnera ieguldījums sadalījumā pa ieguldījumu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izmantošanas nosacījumi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sankcijas, ja netiek izpildītas sadarbības līgumā minētās saistības.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minētā sadarbības partnera pienākumu izpildi projekta īstenošanā un sadarbības partnera īstenotajām funkcijām projektā, tai skaitā nodrošinot dubultā finansējuma risku neiestāšanos, ir atbildīgs šo noteikumu </w:t>
      </w:r>
      <w:r w:rsidR="00000000" w:rsidRPr="00000000" w:rsidDel="00000000">
        <w:rPr>
          <w:rtl w:val="0"/>
        </w:rPr>
        <w:t xml:space="preserve">51.1.</w:t>
      </w:r>
      <w:r w:rsidR="00000000" w:rsidRPr="00000000" w:rsidDel="00000000">
        <w:rPr>
          <w:rtl w:val="0"/>
        </w:rPr>
        <w:t xml:space="preserve"> apakšpunktā minētais projekta iesniedzējs.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Specifiskā atbalsta mērķa ietvaros ieguldījumus infrastruktūrā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īpašumā, kas nodots projekta iesniedzēja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finansējuma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pasākumus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rezultātu ilgtspēju vismaz piecus gadus pēc projekta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noteikumus,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par 2023. gada 31. decembri.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Eiropas Reģionālās attīstības fonda un valsts budžeta dotācijas kopsummas. Avansu var izmaksāt vairākos maksājumos.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Lai saņemtu avansa maksājumu, būvdarbu veicējs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30.05.2017. noteikumu Nr. 277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22-TA-2345</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22-TA-2345</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noteikumu_konsolidētā_versija_22-TA-2345.docx</dc:title>
</cp:coreProperties>
</file>

<file path=docProps/custom.xml><?xml version="1.0" encoding="utf-8"?>
<Properties xmlns="http://schemas.openxmlformats.org/officeDocument/2006/custom-properties" xmlns:vt="http://schemas.openxmlformats.org/officeDocument/2006/docPropsVTypes"/>
</file>