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Vides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Vides aizsardzības likumā (Latvijas Republikas Saeimas un Ministru Kabineta Ziņotājs, 2006, 24. nr.; 2007, 15. nr.; 2008, 7., 24. nr.; 2009, 14. nr.; Latvijas Vēstnesis, 2009, 194. nr.; 2010, 205. nr.; 2012, 96. nr.; 2013, 84. nr.; 2018, 225. nr.; 2020, 119.C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“Vides aizsardzības un reģionālās attīstības ministrija” (attiecīgā locījumā) ar vārdiem “Klimata un enerģētikas ministrija”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17.panta ceturtajā daļā vārdus "vides aizsardzības un reģionālās attīstības ministrs" ar vārdiem "klimata un enerģētikas ministrs".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19.panta pirmo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ir klimata un enerģētikas ministra pārraudzībā esoša tiešās pārvaldes iestāde.".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27.panta ceturtās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lēmumu var apstrīdēt 15 dienu laikā Valsts vides dienesta ģenerāldirektoram Administratīvā procesa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28.panta piektās daļas trešajā teikumā vārdus “Vides pārraudzības valsts birojā”.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38.pantā vārdus “Vides pārraudzības valsts birojs” (attiecīgā locījumā) ar vārdiem “Valsts vides dienests”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Aizstāt 39.panta otrajā un trešajā daļā vārdus “Vides pārraudzības valsts birojs” ar vārdiem “Valsts vides dienests”.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pārejas noteikumus ar 16. un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 jaunu Ministru kabineta noteikumu spēkā stāšanās dienai, bet ne ilgāk kā līdz 2026.gada 31.decembrim, attiecībā uz Valsts vides dienesta maksas pakalpojumiem piemēro Ministru kabineta 2013.gada 17.septembra noteikumus Nr. 877 “Vides pārraudzības valsts biroja publisko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likuma 27. un 28. panta kārtībā par Valsts vides dienesta izdotajiem administratīvajiem aktiem iesniegtie apstrīdēšanas iesniegumi, kas līdz grozījumu šā likuma 27. un 28. pantā par Valsts vides dienesta izdoto administratīvo aktu apstrīdēšanas kārtību spēkā stāšanās dienai ir iesniegti un kuru izskatīšana ir uzsākta, pārņem Valsts vides dienesta ģenerāldirektors.".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25-TA-1319</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25-TA-1319</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likumprojekts_(grozījumi)_25-TA-1319.docx</dc:title>
</cp:coreProperties>
</file>

<file path=docProps/custom.xml><?xml version="1.0" encoding="utf-8"?>
<Properties xmlns="http://schemas.openxmlformats.org/officeDocument/2006/custom-properties" xmlns:vt="http://schemas.openxmlformats.org/officeDocument/2006/docPropsVTypes"/>
</file>