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[25-TA-1162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[25-TA-1162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25.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Finanšu korekciju piemērošana neatbilstību un pārkāpumu gadījumā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Proporcionāla finanšu korekcija darbības programmai (sk. tabulu) tiek piemērota, ja Lauku atbalsta dienests, pieņemot lēmumu par iespējamas neatbilstības konstatēšanu vai lēmumu par neatbilstību, secina, ka neatbilstošo izdevumu summu nav iespējams konkrēti noteikt vai būtu nesamērīgi samazināt darbības programmas attiecināmo izmaksu summu par visu izdevumu summu, kas neatbilst normatīvo aktu vai lēmuma (vienošanās) par darbības programmas īstenošanu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Vērtēšanas procesā konstatējot vairākus pārkāpumus, tiek piemērota finanšu korekcija atbilstoši smagākajam (ar lielāko korekcijas apmēru) pārkāpumam.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Samērīguma princips piemērojams tiktāl, cik to pieļauj noteiktais minimālais finanšu korekciju apmērs.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Finanšu korekciju nepiemēro, ja pārkāpumam ir formāls raksturs bez reālas vai iespējamas finansiālās ietekmes.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Finanšu korekciju var nepiemērot, ja ražotāju organizācija spēj pierādīt, ka nepieciešamās izmaiņas darbības programmā iepriekš nebija paredzamas un radušās no ražotāju organizācijas darbības neatkarīgu iemeslu dēļ. Finanšu korekciju nepiemēro situācijās, kad darbības programmas izpildi nopietni ietekmē nepārvaramas varas un ārkārtēja rakstura apstākļi (force majeure). Konstatējot vairākus pārkāpumus, tiek piemērota finanšu korekcija atbilstoši smagākajam (ar lielāko korekcijas apmēru) pārkāpumam.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Gadījumos, kad pārkāpumi atkārtojas un ražotāju organizācija par pārkāpumu iepriekš bijusi informēta, vērtējot atkārtotā pārkāpuma būtiskumu, var tikt piemērots augstāks finanšu korekcijas apmērs maksājuma pieprasījumā iekļautajiem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Piemērojot finanšu korekciju, vērtē ar atbalsta saņemšanas nosacījumiem saistītās neatbilstības smagumu, apmēru, ilgumu un atkārtošanos.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Finanšu korekcijas apjoms procentos noteikts no ikgadējās darbības programmas apstiprinātajām attiecināmajām izmaksām.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5"/>
        <w:gridCol w:w="2195"/>
        <w:gridCol w:w="3122"/>
        <w:gridCol w:w="3528"/>
        <w:tblGridChange w:id="0">
          <w:tblGrid>
            <w:gridCol w:w="195"/>
            <w:gridCol w:w="2195"/>
            <w:gridCol w:w="3122"/>
            <w:gridCol w:w="352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Neatbilstība vai pārkāpums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Neatbilstības vai pārkāpuma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Finanšu korekcijas apmērs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ievērots Ministru kabineta noteikumu Nr. 203 "Ražotāju organizāciju atzīšanas un atbalsta piešķiršanas kārtība" (turpmāk – MK noteikumi Nr. 203) 72. vai 163. punktā minētais iepirkuma dokumentu iesniegšanas termiņš</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Normatīvajos aktos vai administratīvajā lēmumā norādītie iesniedzamie dokumenti iesniegti pēc noteiktā termiņa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Vairāk nekā trīs mēneši – 100 %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ievērota MK noteikumu Nr. 203 88. vai 161. punktā minētā prasība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Finanšu līzingā iegādātā prece līdz konkrētās darbības programmas perioda beigām nav kļuvusi par ražotāju organizācijas īpašumu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konkrēto preci saņemtā Eiropas Savienības līdzfinansējuma atmaksa 100 % apmērā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ievēroti MK noteikumu Nr. 203 53.  vai 112.  punktā minētie nosacījumi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Ražotāju organizācijas biedri pašu saražotos attiecināmos produktus realizē, pārsniedzot 25 % no attiecināmo produktu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Ražotāju organizācijas biedri pašu saražotos attiecināmos produktus klientiem, kas nav patērētāji, realizē, pārsniedzot maznozīmīgo apjomu (10 % no ražotāju organizācijas attiecināmā produkta pārdodamās produkcijas vērtības).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Attiecībā uz pārskata gadu ražotāju organizācijas pārdotās attiecināmās produkcijas vērtībā neiekļauj no konkrētā biedra iepirktās attiecināmās produkcijas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Attiecībā uz pārskata gadu ražotāju organizācijas pārdotās attiecināmās produkcijas vērtībā neiekļauj no konkrētā biedra iepirktā tā produkta vērtību, kuram konstatēts maznozīmīgā apjoma pārsniegums. </w:t>
            </w:r>
            <w:r w:rsidR="00000000" w:rsidRPr="00000000" w:rsidDel="00000000">
              <w:rPr>
                <w:rtl w:val="0"/>
              </w:rPr>
              <w:t xml:space="preserve">Ja pārkāpums attiecībā uz konkrēto biedru tiek konstatēts atkārtoti, piemēro šā punkta 1. apakšpunktā minēto finanšu korekciju.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Darbības programmas pēdējā gadā nav sasniegti ražotāju organizācijas izvēlētie sasniedzamie rādītāji saskaņā ar MK noteikumu Nr. 203 125.  vai 126.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Ražotāju organizācija darbības programmas īstenošanas pēdējā gadā nav sasniegusi tās izvēlētos kritērijus un noteiktos sasniedzamos rezultatīvos rādītājus saskaņā ar MK noteikumu Nr. 203 125. vai 126.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Ražotāju organizācija atmaksā tai piešķirto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100 % apmērā, ja izvēlētais rezultatīvais rādītājs nav sasniegts;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70 % apmērā, ja izvēlētais rezultatīvais rādītājs ir sasniegts līdz 30,99 %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50 % apmērā, ja izvēlētais rezultatīvais rādītājs ir sasniegts 31–50,99 %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30 % apmērā, ja izvēlētais rezultatīvais rādītājs ir sasniegts 51–70,99 %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10 % apmērā, ja izvēlētais rezultatīvais rādītājs ir sasniegts 71–99,99 % apmērā.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Darbības fonda samazinājums vairāk par 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MK noteikumu Nr. 203 132. punktā minēto nosacījumu neievērošana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 no darbības fonda summas, kas pārsniedz MK noteikumu Nr. 203 132. punktā minēto ierobežojumu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25-TA-1162</w:t>
    </w:r>
    <w:r>
      <w:br/>
    </w:r>
    <w:r w:rsidR="00000000" w:rsidRPr="00000000" w:rsidDel="00000000">
      <w:rPr>
        <w:rtl w:val="0"/>
      </w:rPr>
      <w:t xml:space="preserve">Izdrukāts 29.07.2026. 21.15 - 4.0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25-TA-1162</w:t>
    </w:r>
    <w:r>
      <w:br/>
    </w:r>
    <w:r w:rsidR="00000000" w:rsidRPr="00000000" w:rsidDel="00000000">
      <w:rPr>
        <w:rtl w:val="0"/>
      </w:rPr>
      <w:t xml:space="preserve">Izdrukāts 29.07.2026. 21.15 - 4.0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noteikumu_(grozījumu)_projekts_p6_25-TA-1162.docx</dc:title>
</cp:coreProperties>
</file>

<file path=docProps/custom.xml><?xml version="1.0" encoding="utf-8"?>
<Properties xmlns="http://schemas.openxmlformats.org/officeDocument/2006/custom-properties" xmlns:vt="http://schemas.openxmlformats.org/officeDocument/2006/docPropsVTypes"/>
</file>