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oktobrī (prot. Nr. 45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 februāra noteikumos Nr. 109 "Kārtība, kādā atsavināma publiskas personas manta"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trešo un piekto daļu, 5.panta pirmo daļu,</w:t>
      </w:r>
      <w:r>
        <w:br/>
      </w:r>
      <w:r w:rsidR="00000000" w:rsidRPr="00000000" w:rsidDel="00000000">
        <w:rPr>
          <w:rStyle w:val="paragraph"/>
          <w:i w:val="1"/>
          <w:rtl w:val="0"/>
        </w:rPr>
        <w:t xml:space="preserve">6.panta pirmo daļu, 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47.pantu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 februāra noteikumos Nr. 109 "Kārtība, kādā atsavināma publiskas personas manta" (Latvijas Vēstnesis, 2011, 25. nr.; 2013, 208., 250. nr.; 2016, 149. nr.; 2018, 73. nr.; 2019, 240. nr.; 2020, 26., 148. nr.; 2024, 120.,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atsavinātājam, kas ir Noziedzīgi iegūtu līdzekļu legalizācijas un terorisma un proliferācijas finansēšanas novēršanas likuma subjekts, atbilstoši minētā likuma prasībām nav iesniegti pārbaudei nepieciešamie dokumenti."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"18.7. valsts kustamo mantu – tehniskos līdzekļus, kas paredzēti sabiedriskās drošības un kārtības nodrošināšanai, – ja to nodod pašvaldībai Pašvaldību likuma 4. panta pirmās daļas 14. punktā noteiktās pašvaldības autonomās funkcijas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"18.8. Valsts ugunsdzēsības un glābšanas dienesta valdījumā esošo valsts kustamo mantu, kas paredzēta civilās aizsardzības un katastrofas pārvaldīšanas, ugunsdrošības un ugunsdzēsības pasākumu nodrošināšanai, ja to nodod pašvaldībai Pašvaldību likuma 4. panta pirmās daļas 18. punktā noteiktās pašvaldības autonomās funkcijas izpildei."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24-TA-848</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24-TA-848</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noteikumu_(grozījumu)_projekts_24-TA-848.docx</dc:title>
</cp:coreProperties>
</file>

<file path=docProps/custom.xml><?xml version="1.0" encoding="utf-8"?>
<Properties xmlns="http://schemas.openxmlformats.org/officeDocument/2006/custom-properties" xmlns:vt="http://schemas.openxmlformats.org/officeDocument/2006/docPropsVTypes"/>
</file>