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individuālās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Skola atbilstoši klimatiskajiem apstākļiem un izglītības iestādes materiāli tehniskajam nodrošinājumam piedāvā iespēju skolēniem apgūt 1.–9. klašu grupā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2. ** Skola atbilstoši klimatiskajiem apstākļiem un izglītības iestādes materiāli tehniskajam nodrošinājumam piedāvā iespēju skolēniem apgūt 4.–9. klašu grupā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noteikumu_konsolidētā_versija_p8_23-TA-527.docx</dc:title>
</cp:coreProperties>
</file>

<file path=docProps/custom.xml><?xml version="1.0" encoding="utf-8"?>
<Properties xmlns="http://schemas.openxmlformats.org/officeDocument/2006/custom-properties" xmlns:vt="http://schemas.openxmlformats.org/officeDocument/2006/docPropsVTypes"/>
</file>