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 (Latvijas Vēstnesis, 2024, 52. nr.; 2025, 30., 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pasākuma pirmās kārtas otrā un trešā uzsaukuma ietvaros – par atlikušo šo noteikumu 8.1. apakšpunktā minēto kopējo attiecināmo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Pasākumam plānotais un pieejamais kopējais attiecināmais finansējums ir 46 769 934 </w:t>
      </w:r>
      <w:r w:rsidR="00000000" w:rsidRPr="00000000" w:rsidDel="00000000">
        <w:rPr>
          <w:i w:val="1"/>
          <w:rtl w:val="0"/>
        </w:rPr>
        <w:t xml:space="preserve">euro</w:t>
      </w:r>
      <w:r w:rsidR="00000000" w:rsidRPr="00000000" w:rsidDel="00000000">
        <w:rPr>
          <w:rtl w:val="0"/>
        </w:rPr>
        <w:t xml:space="preserve">, tai skaitā Eiropas Sociālā fonda Plus finansējums – 39 754 443 </w:t>
      </w:r>
      <w:r w:rsidR="00000000" w:rsidRPr="00000000" w:rsidDel="00000000">
        <w:rPr>
          <w:i w:val="1"/>
          <w:rtl w:val="0"/>
        </w:rPr>
        <w:t xml:space="preserve">euro</w:t>
      </w:r>
      <w:r w:rsidR="00000000" w:rsidRPr="00000000" w:rsidDel="00000000">
        <w:rPr>
          <w:rtl w:val="0"/>
        </w:rPr>
        <w:t xml:space="preserve"> un nacionālais līdzfinansējums – 7 015 491 </w:t>
      </w:r>
      <w:r w:rsidR="00000000" w:rsidRPr="00000000" w:rsidDel="00000000">
        <w:rPr>
          <w:i w:val="1"/>
          <w:rtl w:val="0"/>
        </w:rPr>
        <w:t xml:space="preserve">euro</w:t>
      </w:r>
      <w:r w:rsidR="00000000" w:rsidRPr="00000000" w:rsidDel="00000000">
        <w:rPr>
          <w:rtl w:val="0"/>
        </w:rPr>
        <w:t xml:space="preserve">, ko veido pašvaldību budžeta un privātais finansējums,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pasākuma pirmajai kārtai plānotais un pieejamais kopējais attiecināmais finansējums ir 39 596 682 </w:t>
      </w:r>
      <w:r w:rsidR="00000000" w:rsidRPr="00000000" w:rsidDel="00000000">
        <w:rPr>
          <w:i w:val="1"/>
          <w:rtl w:val="0"/>
        </w:rPr>
        <w:t xml:space="preserve">euro</w:t>
      </w:r>
      <w:r w:rsidR="00000000" w:rsidRPr="00000000" w:rsidDel="00000000">
        <w:rPr>
          <w:rtl w:val="0"/>
        </w:rPr>
        <w:t xml:space="preserve">, tai skaitā Eiropas Sociālā fonda Plus finansējums – 33 657 179 </w:t>
      </w:r>
      <w:r w:rsidR="00000000" w:rsidRPr="00000000" w:rsidDel="00000000">
        <w:rPr>
          <w:i w:val="1"/>
          <w:rtl w:val="0"/>
        </w:rPr>
        <w:t xml:space="preserve">euro</w:t>
      </w:r>
      <w:r w:rsidR="00000000" w:rsidRPr="00000000" w:rsidDel="00000000">
        <w:rPr>
          <w:rtl w:val="0"/>
        </w:rPr>
        <w:t xml:space="preserve"> un nacionālais līdzfinansējums – 5 939 503 </w:t>
      </w:r>
      <w:r w:rsidR="00000000" w:rsidRPr="00000000" w:rsidDel="00000000">
        <w:rPr>
          <w:i w:val="1"/>
          <w:rtl w:val="0"/>
        </w:rPr>
        <w:t xml:space="preserve">euro</w:t>
      </w:r>
      <w:r w:rsidR="00000000" w:rsidRPr="00000000" w:rsidDel="00000000">
        <w:rPr>
          <w:rtl w:val="0"/>
        </w:rPr>
        <w:t xml:space="preserve">, ko veido pašvaldību budžeta un privātais finansējums. Pašvaldību budžetu kā līdzfinansējuma avotu projektā plāno šo noteikumu 16.1. un 16.2.1. apakšpunktā minētie projektu iesniedzēji, bet privāto finansējumu – šo noteikumu 16.2.2. apakšpunktā minētie projektu iesniedzēji;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pasākuma piektajai kārtai plānotais un pieejamais kopējais attiecināmais finansējums ir 7 173 252 </w:t>
      </w:r>
      <w:r w:rsidR="00000000" w:rsidRPr="00000000" w:rsidDel="00000000">
        <w:rPr>
          <w:i w:val="1"/>
          <w:rtl w:val="0"/>
        </w:rPr>
        <w:t xml:space="preserve">euro</w:t>
      </w:r>
      <w:r w:rsidR="00000000" w:rsidRPr="00000000" w:rsidDel="00000000">
        <w:rPr>
          <w:rtl w:val="0"/>
        </w:rPr>
        <w:t xml:space="preserve">, tai skaitā Eiropas Sociālā fonda Plus finansējums – 6 097 264 </w:t>
      </w:r>
      <w:r w:rsidR="00000000" w:rsidRPr="00000000" w:rsidDel="00000000">
        <w:rPr>
          <w:i w:val="1"/>
          <w:rtl w:val="0"/>
        </w:rPr>
        <w:t xml:space="preserve">euro</w:t>
      </w:r>
      <w:r w:rsidR="00000000" w:rsidRPr="00000000" w:rsidDel="00000000">
        <w:rPr>
          <w:rtl w:val="0"/>
        </w:rPr>
        <w:t xml:space="preserve"> un pašvaldības budžeta līdzfinansējums – 1 075 988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pirmās kārtas otrā un trešā uzsaukuma ietvaros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pašvaldības vai to izveidoti sociālo pakalpojumu sniedzēji;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 citi sociālo pakalpojumu sniedzēji;".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Pasākuma pirmās kārtas trešajā uzsaukumā projekta iesniegumus var iesniegt par sabiedrībā balstītu sociālo pakalpojumu attīstību to pašvaldību administratīvajās teritorijās, kurās nav izveidoti  šo noteikumu 32. punktā minētie sociālie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vai 1705 </w:t>
      </w:r>
      <w:r w:rsidR="00000000" w:rsidRPr="00000000" w:rsidDel="00000000">
        <w:rPr>
          <w:i w:val="1"/>
          <w:rtl w:val="0"/>
        </w:rPr>
        <w:t xml:space="preserve">euro</w:t>
      </w:r>
      <w:r w:rsidR="00000000" w:rsidRPr="00000000" w:rsidDel="00000000">
        <w:rPr>
          <w:rtl w:val="0"/>
        </w:rPr>
        <w:t xml:space="preserve"> mēnesī par personai individuāli sniegtu atbalstu, bet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projekta ietvaros šo noteikumu 32. punktā minētos sabiedrībā balstītos sociālos pakalpojumus sniedz īsāku laikposmu nekā šo noteikumu 42. punktā noteiktos 24 mēnešus, projektā proporcionāli samazina šo noteikumu 23.1. un 23.2. apakšpunktā  minētās maksimālās izmaksas vienai šo noteikumu 3. punktā  minētajai mērķa grupas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Finansējuma saņēmējs var pretendēt uz atbalstu pasākuma pirmajā un piektajā kārtā, ja nekustamais īpašums, kurā par projekta īstenošanai piešķirtajiem līdzekļiem tiks veikti ieguldījumi, ir finansējuma saņēmēja īpašumā vai uz kuru finansējuma saņēmējam Valsts vienotajā datorizētajā zemesgrāmatā ir nostiprinātas lietošanas tiesības uz termiņu, kas nav īsāks par pieciem gadiem no dienas, kad veikts projekta noslēguma maksājums finansējuma saņēmējam. Ja projektā šo noteikumu 32.1. apakšpunktā minētā sabiedrībā balstīta sociālā pakalpojuma sniegšanas vieta ir plānota no jauna izveidotā dzīvojamā ēkā, zemei un ēkai ir jābūt finansējuma saņēmēja īpašumā."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finansējuma saņēmējs šo noteikumu 18.1.2. apakšpunktā minētās atbalstāmās darbības īstenošanai plāno nekustamā īpašuma iegādi, projekta iesniegumā, balstoties uz saimnieciskuma principu, pamato nekustamā īpašuma iegādes nepieciešamību un saikni ar projekta mērķi. Nekustamā īpašuma iegādes izmaksas plāno šo noteikumu 20.1.2.1. apakšpunktā minēto izmaksu ietvaros. Zemes iegādes izmaksas nevar pārsniegt 10 procentus no šo noteikumu 18.1. apakšpunktā minētās atbalstāmās darbības īstenošanai plānotajām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Sniedzot šo noteikumu 32.1. apakšpunktā minēto pakalpojumu, finansējuma saņēmējs: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 papildus normatīvajos aktos sociālo pakalpojumu sniedzējiem noteiktajām prasībām nodrošina mērķa grupas personai sociālo aprūpi un, ja nepieciešams, veselības aprūpes speciālistu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44.2. projektā paredz vienu no šo noteikumu 23.2. apakšpunktā minētajām vienas vienības izmaksu likmēm – stundas likmi vai mēneša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"46.5. nodrošina komunikācijas un vizuālās identitātes prasības, kas noteiktas regulas Nr. 2021/1060 47. un 50. pantā un normatīvajos aktos par kārtību, kādā Eiropas Savienības fondu vadībā iesaistītās institūcijas nodrošina šo fondu ieviešanu 2021.–2027. gada plānošanas periodā, tai skaitā savā tīmekļvietnē un sociālajos tīklos ievieto aktuālo informāciju par projekta īstenošanu un aktualizē to, tiklīdz pieejama jaunāka informācija, bet ne retāk kā reizi sešos mēnešos;".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46.6.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46.</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1. piesaista šo noteikumu 18. punktā minēto atbalstāmo darbību veikšanai nepieciešamo personālu, nodrošinot, ka projekta īstenošanas laikā ir ievēroti interešu konflikta, korupcijas un krāpšanas novēršanas nosacījumi, vismaz paredzot, ka projekta vadībā un īstenošanā iesaistītie darbinieki ir 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25-TA-2426</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25-TA-2426</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noteikumu_(grozījumu)_projekts_25-TA-2426.docx</dc:title>
</cp:coreProperties>
</file>

<file path=docProps/custom.xml><?xml version="1.0" encoding="utf-8"?>
<Properties xmlns="http://schemas.openxmlformats.org/officeDocument/2006/custom-properties" xmlns:vt="http://schemas.openxmlformats.org/officeDocument/2006/docPropsVTypes"/>
</file>