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(turpmāk – pasākums) projektu iesniegumu atlases pirmo kārtu (turpmāk – atlases pirmā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atlases pirmās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pirmās kārtas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(turpmāk – projekta iesniedzējs),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atlases pirmās kārtas mērķi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veicināt vēsturisko kūdras ieguves vietu sanāciju, iegūstot un analizējot datus par vēsturiskajām kūdras ieguves vietām Taisnīgas pārkārtošanās fonda mērķteritorijās, to stāvokli un iespējamajiem rekultivācijas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 un apkopot informāciju par kūdras izmantošanu enerģētikā pašvaldību organizētajos siltumapgādes pakalpojumos un iespējamos risinājumus cita atjaunīgā enerģijas resursa izmantošanai;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potenciālos projektu iesniegumu iesniedzējus, pašvaldības un privātpersonas ar kvalitatīvu informāciju projektu dokumentācijas sagatavošanai Taisnīgas pārkārtošanās fonda investīciju piesaistei.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mērķteritorijas un īstenošanas vietas ir vēsturiskās kūdras ieguves vietas un pašvaldības, kas atrodas Kurzemes, Latgales, Vidzemes un Zemgales statistiskajos reģionos saskaņā ar 2022. gada 25. novembrī spēkā esošo Statistiski teritoriālo vienību nomenklatūras 3. līmeņa (NUTS 3. līmenis) klasifikāciju.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par vēsturiskajām kūdras ieguves vietām tiek uzskatītas teritorijas, kas noteiktas Kūdras ilgtspējīgas izmantošanas pamatnostādņu 2020.–2030. gadam 3. pielikumā, un šīm teritorijām piegulošas ietekmētās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 plānošanas reģioni, pašvaldības, valsts institūcijas, zinātniskas institūcijas un vēsturisko kūdras ieguves vietu īpašnieki vai apsaimniekotāji (pašvaldības un privātpersonas), kā arī pašvaldības, pašvaldību kapitālsabiedrības vai sabiedrisko pakalpojumu sniedzēji, kuriem ir noslēgts līgums ar pašvaldībām par siltumenerģijas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pirmo kārtu īsteno līdz 2026. gada 31. decembrim, sasniedzot  nacionālo rādītāju – pašvaldību un privātpersonu īpašumā esošo vēsturisko kūdras ieguves vietu izpēte un inventarizācija veikta teritorijās, kuru kopējā platība sasniedz vismaz 9000 ha. Privātpersona šo noteikumu izpratnē atbilst zemes īpašnieka apzīmējumam "fiziska/juridiska persona", kas tiek izmantots Kūdras ilgtspējīgas izmantošanas pamatnostādņu 2020.–2030. gadam 3. pielikumā "Vēsturiskās kūdras ieguves vietas".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pirmo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pirmās kārtas īstenošanai plānotais un pieejamais kopējais attiecināmais finansējums ir vismaz 2 254 192 </w:t>
      </w:r>
      <w:r w:rsidR="00000000" w:rsidRPr="00000000" w:rsidDel="00000000">
        <w:rPr>
          <w:i w:val="1"/>
          <w:rtl w:val="0"/>
        </w:rPr>
        <w:t xml:space="preserve">euro,</w:t>
      </w:r>
      <w:r w:rsidR="00000000" w:rsidRPr="00000000" w:rsidDel="00000000">
        <w:rPr>
          <w:rtl w:val="0"/>
        </w:rPr>
        <w:t xml:space="preserve"> tai skaitā Taisnīgas pārkārtošanās fonda finansējums – 1 916 063</w:t>
      </w:r>
      <w:r w:rsidR="00000000" w:rsidRPr="00000000" w:rsidDel="00000000">
        <w:rPr>
          <w:i w:val="1"/>
          <w:rtl w:val="0"/>
        </w:rPr>
        <w:t xml:space="preserve"> euro</w:t>
      </w:r>
      <w:r w:rsidR="00000000" w:rsidRPr="00000000" w:rsidDel="00000000">
        <w:rPr>
          <w:rtl w:val="0"/>
        </w:rPr>
        <w:t xml:space="preserve"> un nacionālais līdzfinansējums, ko veido valsts budžeta līdzfinansējums, – 338 129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Maksimālā Taisnīgas pārkārtošanās fonda finansējuma intensitāte ir 85 % no projektam plānotā kopējā attiecināmā finansējuma, un valsts budžeta līdzfinansējums ir 15 %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Pasākumā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pirmās kārtas ietvaros, kas pēc projekta iesnieguma apstiprināšanas kļūst par finansējuma saņēmēju, ir atvasināta publiska persona – Vidzemes plānošanas reģions.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projekta atbalstāmo darbību īstenošanai sadarbības partnera statusā piesaista atvasinātas publiskās personas – Latgales plānošanas reģionu, Kurzemes plānošanas reģionu un Zemgales plānošanas reģionu.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kopā ar sadarbības partneriem plāno projektā sasniedzamo nacionālo rādītāju un Taisnīgas pārkārtošanās fonda finansējumu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rādītājam un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minētajam pieejamam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pirms projekta iesnieguma iesniegšanas ar sadarbības partneriem slēdz rakstveida sadarbības līgumu par pušu pienākumiem un tiesībām, kā arī par pušu atbildību projekta mērķa, rezultātu un rādītāju sasniegšanā un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prasību nodrošināšanā.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un sadarbības partneri: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atbildīgi par projekta mērķa, rezultātu un rādītāju sasniegšanu tādā apjomā, kā noteikts sadarbības līgumā;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iesaistās projekta īstenošanā ar saviem resursiem, tai skaitā finansējumu.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pirmajā kārtā netiek atbalstītas projekta iesniedzēja un sadarbības partneru aktivitātes, kas ir kvalificējamas kā komercdarbības atbalsts.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kopā ar sadarbības partneriem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pirmās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vides un informācijas piekļūstamības veicināšanai;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 projekta īstenošanai, tai skaitā informēšanas, izglītošanas un sadarbības veicināšanas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personāla apmācības;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informēšanas, izglītošanas, komunikācijas un vizuālās identitātes pasākumi, tai skaitā informatīvo un izglītojošo materiālu sagatavošana par vēsturisko kūdras ieguves vietu rekultivāciju;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pieredzes apmaiņas braucieni, kas saistīti ar vēsturisko kūdras purvu rekultivāciju, to organizēšana un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derīgo izrakteņu ieguves vietu rekultivāciju saistīto telpiskās plānošanas institūciju, pašvaldību darbinieku un zinātnisko institūciju, kā arī ar kūdras ieguves vietu rekultivāciju saistīto biedrību informēšanas, sadarbības veicināšanas un izglītošanas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pasākumi par atteikšanos no kūdras sadedzināšanas iekārtu izmantošanas enerģētikā;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pašvaldību un siltumapgādes sabiedrisko pakalpojumu sniedzēju konsultēšana par pasākuma otrās projektu iesniegumu atlases kārtas projektu dokumentācijas (dokumentācija par esošās kūdras sadedzināšanas iekārtas radītajām siltumnīcefekta gāzu emisijām, dokumentācija ar aprēķiniem par alternatīvās sadedzināšanas iekārtas radītajām siltumnīcefekta gāzu emisijām un sociālekonomiskie kritēriji)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inventarizācijas veikšana saistībā ar kūdras izmantošanu enerģētikā, apzinot kūdras siltumenerģijas ieguves iekārtas pašvaldībās, tai skaitā pašvaldību organizētajos siltumapgādes pakalpojumos, un to pielāgošanas izmaksu noteikšana citu atjaunīgo energoresursu izmantošanai vai iekārtu nomaiņai;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vēsturisko kūdras ieguves vietu inventarizācija, iegūto datu analīze un apkopošana, iesaistot atbilstošas kvalifikācijas speciālistus un veicot šādus uzdevumus: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iegūt un izpētīt informāciju par pašvaldību un privātpersonu īpašumā esošajām vēsturiskajām kūdras ieguves vietām, tai skaitā apzināt kamerāli vēsturiskās kūdras ieguves vietas un apsekot tās dabā, apkopot un izvērtēt datus par ekosistēmu stāvokli, piesaistot atbilstošu ekspertīzi;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 pašvaldību un privātpersonu īpašumā esošo vēsturisko kūdras ieguves vietu rekultivācijas plānus un noteikt piemērotākās metodes, nodrošinot ekspertīzi ar atbilstošu kompetenci un kvalitāti mērķa sasniegšanai teritorijām, kurās tiks īstenoti rekultivācijas darbi pasākuma nākamajās projektu iesniegumu atlases kārtās;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 vēsturisko kūdras ieguves vietu īpašniekus par rekultivācijas iespējām, ieinteresētajiem īpašniekiem izstrādāt rekultivācijas plānus, piesaistot atbilstošu ekspertīzi, izstrādāt projektu dokumentāciju nākamajām pasākuma kārtām;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vadlīniju un nodevumu sagatavošana vēsturisko kūdras ieguves vietu rekultivācijas veicināšanai, kūdras siltumenerģijas ražošanas iekārtu nomaiņai un projektu iesniegumu pamatojošās dokumentācijas sagatavošanai.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pirmās kārtas ietvaros projektam plāno tiešās un 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ir tieši saistītas ar projekta īstenošanu un nepieciešamas projekta rezultātu sasniegšanai,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projekta vadības un īstenošanas personāla izmaksas (izņemot projekta iesnieguma veidlapas aizpildīšanas izmaksas), kas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20 procentu apmērā no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minētajām tiešajām attiecināmajām izmaksām, kas nav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preču un pakalpojumu līgumu izmaksas 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20.6. </w:t>
      </w:r>
      <w:r w:rsidR="00000000" w:rsidRPr="00000000" w:rsidDel="00000000">
        <w:rPr>
          <w:rtl w:val="0"/>
        </w:rPr>
        <w:t xml:space="preserve">apakšpunkt</w:t>
      </w:r>
      <w:r w:rsidR="00000000" w:rsidRPr="00000000" w:rsidDel="00000000">
        <w:rPr>
          <w:rtl w:val="0"/>
        </w:rPr>
        <w:t xml:space="preserve">ā minētajām atbalstāmajām darbībām (ja attiecināms), tai skaitā izmaksas vēsturiskajās kūdras ieguves vietās veikto pētījumu rezultātā iegūto datu iegādei, ja tie nav brīvi pieejami vai nav pieejami izmantošanai pēc pieprasījuma reģionu attīstības plānošanā, izņemot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noteiktās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ekspertu konsultāciju un izvērtējumu izmaksas projekta sekmīgai realizācijai un mērķa sasniegšanai, kas nav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mācību, semināru, pieredzes apmaiņas un citu kapacitāti uzlabojošu pasākumu organizēšanu un īstenošanu saistītās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lektoru, ekspertu, konsultantu, moderatoru pakalpojumi (ieskaitot honorārus, viesnīcas un ceļa izdevumus);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īres maksa (ja projekta aktivitāšu īstenošanai nepieciešams īrēt telpas ārpus finansējuma saņēmēja un sadarbības partnera juridiskās un faktiskās uzturēšanās adreses);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ēdināšanas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informatīvo materiālu izveide par Taisnīgas pārkārtošanās fonda darbībām reģionos, par vēsturiskajām kūdras ieguves vietām un to rekultivācijas iespējām, piemēram, informācijas izvietošana tīmekļvietnē, plakātu un izdales materiālu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ārvalstu komandējumu izmaksas finansējuma saņēmēja un sadarbības partneru projekta vadītājiem un īstenošanas personālam atbilstoši normatīvajiem aktiem par kārtību, kādā atlīdzināmi ar komandējumu saistītie izdevumi, ja tās ir pamatotas un saistītas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un sadarbības partneru personāla darba braucienu un iekšzemes komandējumu un transporta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partneru personāla darba braucienu un iekšzemes komandējumu izmaksas (viesnīcas izmaksas, dienas nauda), kuras tiek segtas atbilstoši Finanšu ministrijas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vietas aprīkojuma iegādes izmaksas jaunu darba vietu radīšanai vai, ja esošo darba vietu aprīkojums ir nolietojies un tiek norakstīts,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personālam, kas projektā ir nodarbināts vismaz 30 procentus darba laika, ievērojot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vadības vai īstenošanas personāls ir nodarbināts projektā normālu darba laiku, jaunradītas darba vietas aprīkojuma iegādes vai nomas izmaksas ir attiecināmas 100 procentu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vadības vai īstenošanas personāls ir nodarbināts projektā nepilnu darba laiku, jaunradītas darba vietas aprīkojuma iegādes vai nomas izmaksas ir attiecināmas proporcionāli darba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daļlaika izmaksu attiecināšanas principa gadījumā tiek ņemts vērā darbinieka iesaistes periods projektā pret projekta kopējo īstenošanas ilgumu, kā arī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pasākumi, nepārsniedzot vienu procentu no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zīmju valodas tulku, vieglās valodas tulkošanas, reāllaika transkripcijas, subtitru nodrošināšanas pakalpojumu izmaksas un vides piekļūstamības ekspertu konsultāciju izmaksas, ja konsultācijas ir nepieciešamas vides un informācijas piekļūstamības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netiešās attiecināmās izmaksas atbalstāmo darbību īstenošanai plāno kā vienu izmaksu pozīciju, piemērojot netiešo izmaksu vienoto likmi septiņu procentu apmērā no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minētajām tiešajām attiecināmajām izmaksām. Sadarbības partneriem netiešo attiecināmo izmaksu sadalījums starp projekta iesniedzēju un sadarbības partneri tiek noteikts sadarbības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Neparedzēto izdevumu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izmaksas ir attiecināmas no 2024. gada 1. janvāra. Projekta iesniegumā neiekļauj un finansējumu nepiešķir pabeigtām darbībām.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un projekta īstenošanas un uzraudzības nosacījumi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projektu īsteno saskaņā ar vienošanos par projekta īstenošanu, bet ne ilgāk kā līdz 2026.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un pakalpojumu iepirkumos, kā arī publiskos iepirkumus īsteno sociāli atbildīgā veidā, piemērojot sociāli atbildīgā publiskā iepirkuma un inovatīvā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 un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novērš dubultā finansējuma iestāšanos, tostarp nodrošina,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nosacījumus, kā pārliecināties par interešu konflikta, krāpšanas un korupcijas risku neesību,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 kā arī paraksta apliecinājumu par interešu konflikta neesību, lai tiktu ievērotas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pantā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darbību īstenošanai piesaista kompetentus ekspertus vēsturisko kūdras ieguves vietu stāvokļa novērtēšanai un rekultivācijas plānu izstrādei, ņemot vērā piemērotākās metodes siltumnīcefekta gāzu emisiju samazināšanai, vides kvalitātes uzlabošanai un sociālekonomisko ieguvumu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rādītāja uzskaiti projekta īstenošanas laikā un faktiski sasniegtās vērtības datu ievadi Kohēzijas politikas fondu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2025. gada 15. jūnijam izstrādā un atbildīgajai iestādei iesniedz šādus metodiskos materiālus: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vadlīnijas pašvaldībām par procedūru vēsturisko kūdras ieguves vietu atzīšanai par rekultivētām;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vadlīnijas par horizontālā principa "nenodarīt būtisku kaitējumu" klimata un vides mērķu novērtējumu pasākumā īstenojamām darbībām vēsturiskajās kūdras ieguves vietās;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vadlīnijas par sociālekonomisko novērtējumu katram no vēsturisko kūdras ieguves vietu rekultivācijas veidiem;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vadlīnijas par ekosistēmu pakalpojumu novērtējumu katram no vēsturisko kūdras ieguves vietu rekultivācijas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sagatavo un iesniedz atbildīgajai iestādei šādus nodevumus: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1. decembrim – nodevumu par pašvaldībām un to uzņēmumu īpašumā esošo kūdras sadedzināšanas iekārtu inventarizācijas rezultātiem un to sociālekonomisko novērtējumu;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1. maijam – nodevumu par pašvaldību īpašumā esošo vēsturisko kūdras ieguves vietu inventarizācijas rezultātiem, iekļaujot šo noteikumu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noteikto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2025. gada 30. septembrim – nodevumu par privātpersonu īpašumā esošo vēsturisko kūdras ieguves vietu inventarizācijas rezultātiem, iekļaujot šo noteikumu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noteikto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2026. gada 31. decembrim – gala nodevumu, kurā iekļauta analīze par visām vēsturiskajām kūdras ieguves vietām pašvaldību un privātpersonu īpašumā, norādot kopējo analizēto teritoriju platību hektāros;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rādītāja – mediju kampaņu, semināru, konferenču un komunikācijas pasākumu skaits, kuros sabiedrības informēšana cilvēkiem ar dažādu veidu funkcionāliem traucējumiem tika nodrošināta piekļūstamos veidos (piemēram, tulkošana zīmju valodā, subtitrēšana, reāllaika transkripcija, raidījumu un pasākumu ieraksti), – sasniegto vērtību datu uzkrāšanu, ievadi Kohēzijas politikas fondu vadības informācijas sistēmā un ziņošanu.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Atbildīgā iestāde izskata un izvērtē finansējuma saņēmēja un sadarbības partnera iesniegtos metodiskos materiālus un nodevumus viena mēneša laikā no to saņemšanas dienas.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24-TA-710</w:t>
    </w:r>
    <w:r>
      <w:br/>
    </w:r>
    <w:r w:rsidR="00000000" w:rsidRPr="00000000" w:rsidDel="00000000">
      <w:rPr>
        <w:rtl w:val="0"/>
      </w:rPr>
      <w:t xml:space="preserve">Izdrukāts 29.07.2026. 23.14 - 2.0.VK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24-TA-710</w:t>
    </w:r>
    <w:r>
      <w:br/>
    </w:r>
    <w:r w:rsidR="00000000" w:rsidRPr="00000000" w:rsidDel="00000000">
      <w:rPr>
        <w:rtl w:val="0"/>
      </w:rPr>
      <w:t xml:space="preserve">Izdrukāts 29.07.2026. 23.14 - 2.0.VK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noteikumu_projekts_24-TA-710.docx</dc:title>
</cp:coreProperties>
</file>

<file path=docProps/custom.xml><?xml version="1.0" encoding="utf-8"?>
<Properties xmlns="http://schemas.openxmlformats.org/officeDocument/2006/custom-properties" xmlns:vt="http://schemas.openxmlformats.org/officeDocument/2006/docPropsVTypes"/>
</file>