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 gada 28.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1229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Īpaši nosacījumi bioloģiskajai ražošanai piemērotu dārzeņu bioloģisko šķirņu atšķirīguma, viendabīguma un stabilitātes pārbaudēm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06.06.2023. noteikumu Nr. 287 redakcijā)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Nosacījumi attiecas uz šādām bioloģiskajai ražošanai piemērotām dārzeņu sugām: burkāni, kolrābji.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Bioloģiskajām šķirnēm piemēro šādus vispārējus nosacījumus: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attiecībā uz atšķirīgumu un stabilitāti novēro un apraksta visas šo noteikumu 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pielikumā minētajos protokolos un vadlīnijās norādītās pazīmes;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attiecībā uz viendabīgumu novēro un apraksta visas šo noteikumu 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pielikumā minētajos protokolos un vadlīnijās norādītās pazīmes, bet attiecībā uz šā pielikuma 3. punktā norādītajām pazīmēm ievēro šādus nosacījumus: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2.2.1. šīs pazīmes drīkst vērtēt mazāk stingri;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2.2.2. ja attiecībā uz šīm pazīmēm šā pielikuma 3. punktā ir paredzēta atkāpe no attiecīgā tehniskā protokola, šķirnes viendabīguma līmenis ir līdzīgs salīdzināmu Savienībā vispārzināmu šķirņu viendabīguma līmenim.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Atkāpe no tehniskajiem protokoliem: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burkāni (</w:t>
      </w:r>
      <w:r w:rsidR="00000000" w:rsidRPr="00000000" w:rsidDel="00000000">
        <w:rPr>
          <w:i w:val="1"/>
          <w:rtl w:val="0"/>
        </w:rPr>
        <w:t xml:space="preserve">Daucus carota</w:t>
      </w:r>
      <w:r w:rsidR="00000000" w:rsidRPr="00000000" w:rsidDel="00000000">
        <w:rPr>
          <w:rtl w:val="0"/>
        </w:rPr>
        <w:t xml:space="preserve"> L.). Attiecībā uz viendabīgumu burkānu šķirnēm drīkst atšķirties šādas CPVO protokola CPVO-TP/049/3 pazīmes: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 Nr. 4 – lapa: dalījums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 Nr. 5 – lapa: zaļās krāsas intensitāte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 Nr. 19 – sakne: serdes diametrs attiecībā pret kopējo diametru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 Nr. 20 – sakne: serdes krāsa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 Nr. 21 – izņemot šķirnes ar baltu serdi; sakne: serdes krāsas intensitāte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 Nr. 28 – sakne: gala iekrāsošanās laiks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 Nr. 29 – augs: primārā ziedu čemura augstums ziedēšanas laikā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kolrābji (</w:t>
      </w:r>
      <w:r w:rsidR="00000000" w:rsidRPr="00000000" w:rsidDel="00000000">
        <w:rPr>
          <w:i w:val="1"/>
          <w:rtl w:val="0"/>
        </w:rPr>
        <w:t xml:space="preserve">Brassica oleracea</w:t>
      </w:r>
      <w:r w:rsidR="00000000" w:rsidRPr="00000000" w:rsidDel="00000000">
        <w:rPr>
          <w:rtl w:val="0"/>
        </w:rPr>
        <w:t xml:space="preserve"> L.).  Attiecībā uz viendabīgumu kolrābju šķirnēm drīkst atšķirties šādas CPVO protokola CPVO-TP/065/1 Rev. pazīmes: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 Nr. 2 – sējenis: dīgļlapu zaļās krāsas intensitāte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 Nr. 6 – lapas kāts: vērsums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 Nr. 8 – lapas plātne: garums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 Nr. 9 – lapas plātne: platums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 Nr. 10 – lapas plātne: galotnes forma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 Nr. 11 – lapas plātne: dalījums līdz centrālajai dzīslai (lapas pamatnē)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 Nr. 12 – lapas plātne: malas robojumu skaits (lapas galotnes daļā)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 Nr. 13 – lapas plātne: malas robojumu dziļums (lapas galotnes daļā)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 Nr. 14 – lapas plātne: forma šķērsgriezumā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CPVO Nr. 19 – kolrābjiem: saknes pieres daļā augošo lapu skaits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23-TA-1935</w:t>
    </w:r>
    <w:r>
      <w:br/>
    </w:r>
    <w:r w:rsidR="00000000" w:rsidRPr="00000000" w:rsidDel="00000000">
      <w:rPr>
        <w:rtl w:val="0"/>
      </w:rPr>
      <w:t xml:space="preserve">Izdrukāts 29.07.2026. 22.06 - 2.0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23-TA-1935</w:t>
    </w:r>
    <w:r>
      <w:br/>
    </w:r>
    <w:r w:rsidR="00000000" w:rsidRPr="00000000" w:rsidDel="00000000">
      <w:rPr>
        <w:rtl w:val="0"/>
      </w:rPr>
      <w:t xml:space="preserve">Izdrukāts 29.07.2026. 22.06 - 2.0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noteikumu_konsolidētā_versija_p2_2_23-TA-1935.docx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