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Iesniegumā bioloģiskās šķirnes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_header"/>
          <w:b w:val="1"/>
          <w:rtl w:val="0"/>
        </w:rPr>
        <w:t xml:space="preserve"> atšķirīguma, viendabīguma un stabilitātes pārbaudei ietveramā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06.06.2023. noteikumu Nr. 287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selekcionāru: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juridiskajai personai – nosaukums, reģistrācijas numurs, adrese, valstspiederība, kontaktinformācija (piemēram, tālruņa numurs, e-pasta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fiziskajai personai – vārds, uzvārds, personas kods, adrese, valstspiederība, kontaktinformācija (piemēram, tālruņa numurs, e-pasta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Augu sugas paplašināts nosaukums latīņu valodā, norādot ģinti, sugu, pasugu, varietāti.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Augu sugas nosaukums latviešu valodā.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Selekcionāra piešķirtais šķirnes pagaidu apzīmējums.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Valsts, kurā šķirne izveidota.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Šķirnes apraksta tehniskā anketa.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paraksts un zīmogs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Bioloģiskajai ražošanai piemērota lauksaimniecības augu un dārzeņu suga Eiropas Parlamenta un Padomes 2018. gada 30. maija Regulas (ES) </w:t>
      </w:r>
      <w:r w:rsidR="00000000" w:rsidRPr="00000000" w:rsidDel="00000000">
        <w:rPr>
          <w:rtl w:val="0"/>
        </w:rPr>
        <w:t xml:space="preserve">2018/848</w:t>
      </w:r>
      <w:r w:rsidR="00000000" w:rsidRPr="00000000" w:rsidDel="00000000">
        <w:rPr>
          <w:rtl w:val="0"/>
        </w:rPr>
        <w:t xml:space="preserve"> par bioloģisko ražošanu un bioloģisko produktu marķēšanu un ar ko atceļ Padomes Regulu (EK) Nr. 834/2007, 3. panta 19. punkta izpratnē.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Dokumenta rekvizītus "datums", "paraksts" un "zīmogs"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noteikumu_konsolidētā_versija_p2_3_23-TA-1935.docx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