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3.</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un 3.</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 un 30.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1.–6. klases skolēniem – 108,64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7.–9. klases skolēniem – 139,99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10.–12. klases skolēniem, tai skaitā šo noteikumu 7.3. apakšpunktā minētajiem skolēniem, – 150,43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šo noteikumu 4.2. apakšpunktā un 9. punktā minētajiem 1.–9. klases skolēniem – 124,31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šo noteikumu 7.1. un 7.2. apakšpunktā minētajiem 1.–12. klases skolēniem – 132,67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23-TA-1072</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23-TA-1072</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noteikumu_(grozījumu)_projekts_23-TA-1072.docx</dc:title>
</cp:coreProperties>
</file>

<file path=docProps/custom.xml><?xml version="1.0" encoding="utf-8"?>
<Properties xmlns="http://schemas.openxmlformats.org/officeDocument/2006/custom-properties" xmlns:vt="http://schemas.openxmlformats.org/officeDocument/2006/docPropsVTypes"/>
</file>