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178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22. martā (prot. Nr. 17 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2016. gada 14. jūnija noteikumos Nr. 365 "Darbības programmas "Izaugsme un nodarbinātība" 1.2.2. specifiskā atbalsta mērķa "Veicināt inovāciju ieviešanu komersantos" 1.2.2.3. pasākuma "Atbalsts IKT un netehnoloģiskām apmācībām, kā arī apmācībām, lai sekmētu investoru piesaisti"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w:t>
      </w:r>
      <w:r>
        <w:br/>
      </w:r>
      <w:r w:rsidR="00000000" w:rsidRPr="00000000" w:rsidDel="00000000">
        <w:rPr>
          <w:rStyle w:val="paragraph"/>
          <w:i w:val="1"/>
          <w:rtl w:val="0"/>
        </w:rPr>
        <w:t xml:space="preserve"> struktūrfondu un Kohēzijas fonda</w:t>
      </w:r>
      <w:r>
        <w:br/>
      </w:r>
      <w:r w:rsidR="00000000" w:rsidRPr="00000000" w:rsidDel="00000000">
        <w:rPr>
          <w:rStyle w:val="paragraph"/>
          <w:i w:val="1"/>
          <w:rtl w:val="0"/>
        </w:rPr>
        <w:t xml:space="preserve"> 2014.–2020. gada plānošanas perioda</w:t>
      </w:r>
      <w:r>
        <w:br/>
      </w:r>
      <w:r w:rsidR="00000000" w:rsidRPr="00000000" w:rsidDel="00000000">
        <w:rPr>
          <w:rStyle w:val="paragraph"/>
          <w:i w:val="1"/>
          <w:rtl w:val="0"/>
        </w:rPr>
        <w:t xml:space="preserve"> vadības likuma 20. panta 6., 9.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2016. gada 14. jūnija noteikumos Nr. 365 "Darbības programmas "Izaugsme un nodarbinātība" 1.2.2. specifiskā atbalsta mērķa "Veicināt inovāciju ieviešanu komersantos" 1.2.2.3. pasākuma "Atbalsts IKT un netehnoloģiskām apmācībām, kā arī apmācībām, lai sekmētu investoru piesaisti" īstenošanas noteikumi" (Latvijas Vēstnesis, 2000, 426./429. nr.; 2016, 116. nr.; 2018, 23. nr.; 2019, 221. nr.; 2020, 51., 235A. nr.; 2021, 130.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noteikumu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"Darbības programmas "Izaugsme un nodarbinātība" 1.2.2. specifiskā atbalsta mērķa "Veicināt inovāciju ieviešanu komersantos" 1.2.2.3. pasākuma "Atbalsts IKT un netehnoloģiskām apmācībām, kā arī apmācībām, lai sekmētu investoru piesaisti" un 13.1.6. specifiskā atbalsta mērķa "Atveseļošanas pasākumi ekonomikas nozarē – nodarbināto apmācības (ERAF)" īstenošanas noteikumi".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tiesību akta izdošanas pamatojuma norādi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"Izdoti saskaņā ar Eiropas Savienības struktūrfondu un Kohēzijas fonda 2014.–2020. gada plānošanas perioda vadības likuma 20. panta 6., 9. un 13.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kārtību, kādā īsteno darbības programmas "Izaugsme un nodarbinātība" 1.2.2. specifiskā atbalsta mērķa "Veicināt inovāciju ieviešanu komersantos" 1.2.2.3. pasākumu "Atbalsts IKT un netehnoloģiskām apmācībām, kā arī apmācībām, lai sekmētu investoru piesaisti" (turpmāk – 1.2.2.3. pasākums) un 13.1.6. specifiskā atbalsta mērķi "Atveseļošanas pasākumi ekonomikas nozarē – nodarbināto apmācības (ERAF)" (turpmāk – 13.1.6. specifiskā atbalsta mērķis) (turpmāk abi kopā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1.2.2.3. pasākuma ietvaros pieejamais publiskais finansējums ir fonda finansējums 6 908 242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13.1.6. specifiskā atbalsta mērķim pieejamais publiskais finansējums ir 5 000 000 </w:t>
      </w:r>
      <w:r w:rsidR="00000000" w:rsidRPr="00000000" w:rsidDel="00000000">
        <w:rPr>
          <w:i w:val="1"/>
          <w:rtl w:val="0"/>
        </w:rPr>
        <w:t xml:space="preserve">euro</w:t>
      </w:r>
      <w:r w:rsidR="00000000" w:rsidRPr="00000000" w:rsidDel="00000000">
        <w:rPr>
          <w:rtl w:val="0"/>
        </w:rPr>
        <w:t xml:space="preserve">, tai skaitā fonda finansējums – 4 250 000 </w:t>
      </w:r>
      <w:r w:rsidR="00000000" w:rsidRPr="00000000" w:rsidDel="00000000">
        <w:rPr>
          <w:i w:val="1"/>
          <w:rtl w:val="0"/>
        </w:rPr>
        <w:t xml:space="preserve">euro</w:t>
      </w:r>
      <w:r w:rsidR="00000000" w:rsidRPr="00000000" w:rsidDel="00000000">
        <w:rPr>
          <w:rtl w:val="0"/>
        </w:rPr>
        <w:t xml:space="preserve"> un valsts budžeta finansējums – 750 000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1. 2021. gadā piešķirtais finansējums ir 4 000 000 </w:t>
      </w:r>
      <w:r w:rsidR="00000000" w:rsidRPr="00000000" w:rsidDel="00000000">
        <w:rPr>
          <w:i w:val="1"/>
          <w:rtl w:val="0"/>
        </w:rPr>
        <w:t xml:space="preserve">euro</w:t>
      </w:r>
      <w:r w:rsidR="00000000" w:rsidRPr="00000000" w:rsidDel="00000000">
        <w:rPr>
          <w:rtl w:val="0"/>
        </w:rPr>
        <w:t xml:space="preserve">, tai skaitā fonda finansējums – 3 400 000 </w:t>
      </w:r>
      <w:r w:rsidR="00000000" w:rsidRPr="00000000" w:rsidDel="00000000">
        <w:rPr>
          <w:i w:val="1"/>
          <w:rtl w:val="0"/>
        </w:rPr>
        <w:t xml:space="preserve">euro</w:t>
      </w:r>
      <w:r w:rsidR="00000000" w:rsidRPr="00000000" w:rsidDel="00000000">
        <w:rPr>
          <w:rtl w:val="0"/>
        </w:rPr>
        <w:t xml:space="preserve"> un valsts budžeta finansējums – 600 000 </w:t>
      </w:r>
      <w:r w:rsidR="00000000" w:rsidRPr="00000000" w:rsidDel="00000000">
        <w:rPr>
          <w:i w:val="1"/>
          <w:rtl w:val="0"/>
        </w:rPr>
        <w:t xml:space="preserve">euro</w:t>
      </w:r>
      <w:r w:rsidR="00000000" w:rsidRPr="00000000" w:rsidDel="00000000">
        <w:rPr>
          <w:rtl w:val="0"/>
        </w:rPr>
        <w:t xml:space="preserve">, un tas ir pieejams līdz 2023. gada 31. decembrim;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2. 2022. gadā piešķirtais finansējums ir 1 000 000 </w:t>
      </w:r>
      <w:r w:rsidR="00000000" w:rsidRPr="00000000" w:rsidDel="00000000">
        <w:rPr>
          <w:i w:val="1"/>
          <w:rtl w:val="0"/>
        </w:rPr>
        <w:t xml:space="preserve">euro</w:t>
      </w:r>
      <w:r w:rsidR="00000000" w:rsidRPr="00000000" w:rsidDel="00000000">
        <w:rPr>
          <w:rtl w:val="0"/>
        </w:rPr>
        <w:t xml:space="preserve">, tai skaitā fonda finansējums – 850 000 </w:t>
      </w:r>
      <w:r w:rsidR="00000000" w:rsidRPr="00000000" w:rsidDel="00000000">
        <w:rPr>
          <w:i w:val="1"/>
          <w:rtl w:val="0"/>
        </w:rPr>
        <w:t xml:space="preserve">euro</w:t>
      </w:r>
      <w:r w:rsidR="00000000" w:rsidRPr="00000000" w:rsidDel="00000000">
        <w:rPr>
          <w:rtl w:val="0"/>
        </w:rPr>
        <w:t xml:space="preserve"> un valsts budžeta finansējums – 150 000 </w:t>
      </w:r>
      <w:r w:rsidR="00000000" w:rsidRPr="00000000" w:rsidDel="00000000">
        <w:rPr>
          <w:i w:val="1"/>
          <w:rtl w:val="0"/>
        </w:rPr>
        <w:t xml:space="preserve">euro</w:t>
      </w:r>
      <w:r w:rsidR="00000000" w:rsidRPr="00000000" w:rsidDel="00000000">
        <w:rPr>
          <w:rtl w:val="0"/>
        </w:rPr>
        <w:t xml:space="preserve">, un tas ir pieejams līdz 2023. gada 31.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10.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1.2.2.3. pasākuma ietvaros ir sasniedzami šādi uzraudzības rādītāji un to vērtības: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10.1. līdz 2023. gada 31. decembrim darbības programmas "Izaugsme un nodarbinātība" 1.2.2. specifiskā atbalsta mērķa ietvaros atbalstīto komersantu skaits – 1 300;</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10.2. līdz 2023. gada 31. decembrim darbības programmas "Izaugsme un nodarbinātība" 1.2.2. specifiskā atbalsta mērķa ietvaros atbalstīto komersantu skaits, kas saņem grantus, – 1 300;</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10.3. līdz 2023. gada 31. decembrim darbības programmas "Izaugsme un nodarbinātība" 1.2.2. specifiskā atbalsta mērķa ietvaros sasniedzamais specifiskais rezultāta rādītājs – inovatīvo komersantu īpatsvars kopējā komersantu skaitā ir 40 %;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10.4. līdz 2023. gada 31. decembrim 1.2.2.3. pasākuma ietvaros atbalstīto komersantu skaits, kas saņem grantus, – 740;</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10.5. līdz 2023. gada 31. decembrim 1.2.2.3. pasākuma ietvaros atbalstīto personu skaits, kuras saņem nefinansiālu atbalstu, - 11 080;</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10.6. līdz 2018. gada 31. decembrim 1.2.2.3. pasākuma ietvaros atbalstīto komersantu skaits, kas saņem grantus, – 422;</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10.7. līdz 2018. gada 31. decembrim 1.2.2.3. pasākuma ietvaros atbalstīto personu skaits, kuras saņem nefinansiālu atbalstu, – 5540;</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10.8. līdz 2018. gada 31. decembrim 1.2.2.3. pasākuma ietvaros sasniedzamais finanšu rādītājs – sertificēti izdevumi 749 999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10.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Šo noteikumu 22.2. un 22.3. apakšpunktā minēto 13.1.6. specifiskā atbalsta mērķa finansēto atbalstāmo darbību ietvaros līdz 2023. gada 31. decembrim ir sasniedzami šādi uzraudzības rādītāji un to vērtības: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1. atbalstīto komersantu skaits – 122, tai skaitā: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1.1. atbalstīto komersantu skaits no 2021. gada piešķīruma – 105;</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1.2. atbalstīto komersantu skaits no 2022. gada piešķīruma – 17;</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2. atbalstīto komersantu skaits, kas saņem grantus, – 122, tai skaitā: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2.1. atbalstīto komersantu skaits, kas saņem grantus no 2021. gada piešķīruma, – 105;</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2.2. atbalstīto komersantu skaits, kas saņem grantus no 2022. gada piešķīruma, – 17;</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3. personu skaits, kuras saņem nefinansiālu atbalstu, – 700, tai skaitā: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3.1. personu skaits, kuras saņem nefinansiālu atbalstu no 2021. gada piešķīruma, – 525;</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3.2. personu skaits, kuras saņem nefinansiālu atbalstu no 2022. gada piešķīruma, – 175;</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4. specifiskais rezultāta rādītājs – inovatīvo komersantu īpatsvars ir 40 %, tai skaitā: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4.1. inovatīvo komersantu īpatsvars no 2021. gada piešķīruma – 35 %;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4.2. inovatīvo komersantu īpatsvars no 2022. gada piešķīruma – 40 %;".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16.3.2.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"16.3.2. šo noteikumu 22.2. un 22.3. apakšpunktā minēto atbalstāmo darbību īstenošanai – 13.1.6. specifiskā atbalsta mērķa finansējums 5 000 000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ar 43.</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2</w:t>
      </w:r>
      <w:r w:rsidR="00000000" w:rsidRPr="00000000" w:rsidDel="00000000">
        <w:rPr>
          <w:rtl w:val="0"/>
        </w:rPr>
        <w:t xml:space="preserve"> Šo noteikumu 13.3. apakšpunktā minētais finansējuma saņēmējs šo noteikumu 9.</w:t>
      </w:r>
      <w:r w:rsidR="00000000" w:rsidRPr="00000000" w:rsidDel="00000000">
        <w:rPr>
          <w:vertAlign w:val="superscript"/>
          <w:rtl w:val="0"/>
        </w:rPr>
        <w:t xml:space="preserve">1</w:t>
      </w:r>
      <w:r w:rsidR="00000000" w:rsidRPr="00000000" w:rsidDel="00000000">
        <w:rPr>
          <w:rtl w:val="0"/>
        </w:rPr>
        <w:t xml:space="preserve"> punktā minēto 13.1.6. specifiskā atbalsta mērķa finansējumu drīkst izmantot šo noteikumu 22.2. un 22.3. apakšpunktā minētajām atbalstāmajām darbībām un ar tām saistītajām izmaksām, nodrošinot šī finansējuma nodalīšanu no šo noteikumu 9. punktā minētā finansējuma."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62.3.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"62.3. ja gala labuma guvējs atbilst Komisijas regulas Nr. 651/2014 2. panta 18. punktā noteiktajai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62.5.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"62.5. ja gala labuma guvējs nav sniedzis informāciju atbilstoši Komisijas regulas Nr. 651/2014 6. panta 2. 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Papildināt ar 62.6.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"62.6. ja gala labuma guvējs pirms atbalsta saņemšanas nav sniedzis apliecinājumu, ka ir ievērota šo noteikumu 62.3. apakšpunktā noteiktā prasība, kas izriet no Komisijas regulas Nr. 651/2014 2. panta 18. punkta "c" apakšpunkta."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64.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1</w:t>
      </w:r>
      <w:r w:rsidR="00000000" w:rsidRPr="00000000" w:rsidDel="00000000">
        <w:rPr>
          <w:rtl w:val="0"/>
        </w:rPr>
        <w:t xml:space="preserve"> Ja attiecībā uz šo noteikumu 13.1. vai 13.2. apakšpunktā minētajam finansējuma saņēmējam piešķirto atbalstu ir pārkāptas Komisijas regulas Nr. 1407/2013 prasības, šo noteikumu 13.1. vai 13.2. apakšpunktā minētajam finansējuma saņēmējam ir pienākums atmaksāt sadarbības iestādei visu projekta ietvaros saņemto </w:t>
      </w:r>
      <w:r w:rsidR="00000000" w:rsidRPr="00000000" w:rsidDel="00000000">
        <w:rPr>
          <w:i w:val="1"/>
          <w:rtl w:val="0"/>
        </w:rPr>
        <w:t xml:space="preserve">de minimis</w:t>
      </w:r>
      <w:r w:rsidR="00000000" w:rsidRPr="00000000" w:rsidDel="00000000">
        <w:rPr>
          <w:rtl w:val="0"/>
        </w:rPr>
        <w:t xml:space="preserve"> atbalstu. Atbalstu atmaksā kopā ar procentiem no līdzekļiem, kas brīvi no valsts atbalsta, saskaņā ar Komercdarbības atbalsta kontroles likuma IV vai V nodaļu."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64.</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2</w:t>
      </w:r>
      <w:r w:rsidR="00000000" w:rsidRPr="00000000" w:rsidDel="00000000">
        <w:rPr>
          <w:rtl w:val="0"/>
        </w:rPr>
        <w:t xml:space="preserve"> Ja attiecībā uz gala labuma guvējam piešķirto atbalstu ir pārkāptas Komisijas regulas Nr. 1407/2013 prasības, gala labuma guvējam ir pienākums atmaksāt šo noteikumu 13.3. apakšpunktā minētajam finansējuma saņēmējam visu projekta ietvaros saņemto </w:t>
      </w:r>
      <w:r w:rsidR="00000000" w:rsidRPr="00000000" w:rsidDel="00000000">
        <w:rPr>
          <w:i w:val="1"/>
          <w:rtl w:val="0"/>
        </w:rPr>
        <w:t xml:space="preserve">de minimis</w:t>
      </w:r>
      <w:r w:rsidR="00000000" w:rsidRPr="00000000" w:rsidDel="00000000">
        <w:rPr>
          <w:rtl w:val="0"/>
        </w:rPr>
        <w:t xml:space="preserve"> atbalstu. Atbalstu atmaksā kopā ar procentiem no līdzekļiem, kas brīvi no valsts atbalsta, saskaņā ar Komercdarbības atbalsta kontroles likuma IV vai V nodaļu."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64.</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3</w:t>
      </w:r>
      <w:r w:rsidR="00000000" w:rsidRPr="00000000" w:rsidDel="00000000">
        <w:rPr>
          <w:rtl w:val="0"/>
        </w:rPr>
        <w:t xml:space="preserve"> Ja ir pārkāptas Komisijas regulas Nr. 651/2014 prasības, šo noteikumu 13.3. apakšpunktā minētais finansējuma saņēmējs gala labuma guvējam uzliek par pienākumu atmaksāt finansējuma saņēmējam projekta ietvaros saņemto nelikumīgo valsts atbalstu. Šo noteikumu 13.1. vai 13.2. apakšpunktā minētajam finansējuma saņēmējam ir pienākums atmaksāt sadarbības iestādei visu projekta ietvaros saņemto nelikumīgo valsts atbalstu. Atbalstu atmaksā kopā ar procentiem, kurus aprēķina no dienas, kad valsts atbalsts tika izmaksāts gala labuma guvējam, līdz tā atgūšanas dienai, no līdzekļiem, kas brīvi no valsts atbalsta, saskaņā ar Komercdarbības atbalsta kontroles likuma IV vai V nodaļu."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73.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"73. Šo noteikumu 13.3. apakšpunktā minētā finansējuma saņēmēja īstenotajām apmācībām maksimālā pieļaujamā 13.1.6. specifiskā atbalsta mērķa finansējuma intensitāte, ja tiek sniegts </w:t>
      </w:r>
      <w:r w:rsidR="00000000" w:rsidRPr="00000000" w:rsidDel="00000000">
        <w:rPr>
          <w:i w:val="1"/>
          <w:rtl w:val="0"/>
        </w:rPr>
        <w:t xml:space="preserve">de minimis</w:t>
      </w:r>
      <w:r w:rsidR="00000000" w:rsidRPr="00000000" w:rsidDel="00000000">
        <w:rPr>
          <w:rtl w:val="0"/>
        </w:rPr>
        <w:t xml:space="preserve"> atbalsts atbilstoši Komisijas regulai Nr. 1407/2013, gala labuma guvējam: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73.1. sīkajam (mikro), mazajam un vidējam komersantam ir 100 % pirmajiem trim komersanta atbalstam pieteiktajiem nodarbinātajiem, 85 % nākamajiem pieteiktajiem komersanta nodarbinātajiem, izņemot šo noteikumu 33.1.1.4.1. apakšpunktā minētās ārpakalpojuma izmaksas, kurām tiek piemērota 100 % finansējuma intensitāte no ārpakalpojuma izmaksām bez pievienotās vērtības nodokļa pirmajiem trim komersanta atbalstam pieteiktajiem nodarbinātajiem un 85 % finansējuma intensitāte no ārpakalpojuma izmaksām bez pievienotās vērtības nodokļa nākamajiem pieteiktajiem komersanta nodarbinātajiem, ietverot 100 % no ārpakalpojuma izmaksu pievienotās vērtības nodokļa daļas, kuru maksā šo noteikumu 13.3. apakšpunktā minētais finansējuma saņēmējs atbilstoši šo noteikumu 33.3. apakšpunktam. Lai nodrošinātu korektu atbalsta intensitātes piemērošanu, attiecināmās izmaksas pamato ar dokumentāriem pierādījumiem, kuros norādīta pievienotās vērtības nodokļa un citu maksājumu daļa;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73.2. sīkajam (mikro), mazajam un vidējam komersantam ir 100 % šo noteikumu 51.2.3. apakšpunktā minētajām izmaksām;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73.3. lielajam komersantam ir 85 % atbilstoši šo noteikumu 68. punktam, izņemot šo noteikumu 33.1.1.4.1. apakšpunktā minētās ārpakalpojuma izmaksas, kurām tiek piemērota 85 % finansējuma intensitāte no ārpakalpojuma izmaksām bez pievienotās vērtības nodokļa, ietverot 100 % no ārpakalpojuma izmaksu pievienotās vērtības nodokļa daļas, kuru maksā šo noteikumu 13.3. apakšpunktā minētais finansējuma saņēmējs atbilstoši šo noteikumu 33.3. apakšpunktam. Lai nodrošinātu korektu atbalsta intensitātes piemērošanu, attiecināmās izmaksas pamato ar dokumentāriem pierādījumiem, kuros norādīta pievienotās vērtības nodokļa un citu maksājumu daļa."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Vitenbergs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21-TA-1522</w:t>
    </w:r>
    <w:r>
      <w:br/>
    </w:r>
    <w:r w:rsidR="00000000" w:rsidRPr="00000000" w:rsidDel="00000000">
      <w:rPr>
        <w:rtl w:val="0"/>
      </w:rPr>
      <w:t xml:space="preserve">Izdrukāts 29.07.2026. 23.31 - 1.0.VK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21-TA-1522</w:t>
    </w:r>
    <w:r>
      <w:br/>
    </w:r>
    <w:r w:rsidR="00000000" w:rsidRPr="00000000" w:rsidDel="00000000">
      <w:rPr>
        <w:rtl w:val="0"/>
      </w:rPr>
      <w:t xml:space="preserve">Izdrukāts 29.07.2026. 23.31 - 1.0.VK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noteikumu_(grozījumu)_projekts_21-TA-1522.docx</dc:title>
</cp:coreProperties>
</file>

<file path=docProps/custom.xml><?xml version="1.0" encoding="utf-8"?>
<Properties xmlns="http://schemas.openxmlformats.org/officeDocument/2006/custom-properties" xmlns:vt="http://schemas.openxmlformats.org/officeDocument/2006/docPropsVTypes"/>
</file>