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111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18. februārī (prot. Nr. 7 32.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16. janvāra noteikumos Nr. 51 "Eiropas Savienības Atveseļošanas un noturības mehānisma plāna 1. 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rsidR="00000000" w:rsidRPr="00000000" w:rsidDel="00000000">
        <w:rPr>
          <w:rStyle w:val="paragraph"/>
          <w:i w:val="1"/>
          <w:rtl w:val="0"/>
        </w:rPr>
        <w:t xml:space="preserve"> 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pirmo un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16. janvāra noteikumos Nr. 51 "Eiropas Savienības Atveseļošanas un noturības mehānisma plāna 1. 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 (Latvijas Vēstnesis, 2024, 13., 164.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"Eiropas Savienības Atveseļošanas un noturības mehānisma plāna 1. 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saistītā pasākuma īstenošanas noteikumi".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kārtību, kādā īsteno Eiropas Savienības Atveseļošanas un noturības mehānisma (turpmāk – atveseļošanas fonds) plāna 1. 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saistīto pasākumu (turpmāk – investīcija) un tā ietvaros apstiprinātos projektus;".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5.1.4.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5.2.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Investīcijai kopējais pieejamais atveseļošanas fonda finansējums ir 59 370 012 </w:t>
      </w:r>
      <w:r w:rsidR="00000000" w:rsidRPr="00000000" w:rsidDel="00000000">
        <w:rPr>
          <w:i w:val="1"/>
          <w:rtl w:val="0"/>
        </w:rPr>
        <w:t xml:space="preserve">euro </w:t>
      </w:r>
      <w:r w:rsidR="00000000" w:rsidRPr="00000000" w:rsidDel="00000000">
        <w:rPr>
          <w:rtl w:val="0"/>
        </w:rPr>
        <w:t xml:space="preserve">šādā sadalījumā: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Rīgas valstspilsētas pašvaldībai sešu mobilitātes punktu izbūvei Rīgas valstspilsētā – 27 642 762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"Rīgas satiksmei" ar mobilitātes punkta "Šķirotava" izbūvi saistītā tramvaja līnijas pagarinājuma 2,2 km garumā un trolejbusa līnijas pagarinājuma 0,3 km garumā izbūvei, transportmijas punkta un dispečerpunkta ēkas izbūvei Rīgas valstspilsētā – 28 075 000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Ādažu novada pašvaldībai mobilitātes punkta "Carnikava" izbūvei – 1 186 500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Saulkrastu novada pašvaldībai mobilitātes punkta "Saulkrasti" izbūvei – 2 465 750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Investīcijas īstenošanai var iesniegt šādus projektus: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Rīgas valstspilsētas pašvaldība – sešu videi draudzīgu mobilitātes punktu izbūve Rīgas valstspilsētā;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(Svītrots)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 "Rīgas satiksme" – ar mobilitātes punkta "Šķirotava" izbūvi saistīta tramvaja līnijas pagarinājuma 2,2 km garumā un trolejbusa līnijas pagarinājuma 0,3 km garumā un ar to saistītās infrastruktūras izbūve, tostarp transportmijas punkta un dispečerpunkta ēkas izbūve;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11.4. Ādažu novada pašvaldība – viena videi draudzīga mobilitātes punkta izbūve;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11.5. Saulkrastu novada pašvaldība – viena videi draudzīga mobilitātes punkta izbūve."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Investīcijas ietvaros atbalstāmās darbības ir mobilitātes punktu, tramvaja un trolejbusa līnijas pagarinājuma (tostarp transportmijas punkta un dispečerpunkta) izbūves, pārbūves vai atjaunošanas izmaksas, kā arī ar to pieejamību un savienojamību saistītās sabiedriskā transporta un mikromobilitātes infrastruktūras izbūve, pārbūve un atjaunošana, tostarp lietojot viedus, digitālus un videi draudzīgus risinājumus Rīgas valstspilsētā un Pierīgā."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 29.5.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29.6.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 29.7.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29.12.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"29.12. ar tramvaja un trolejbusa līniju pagarinājumu (tostarp transportmijas punkta un dispečerpunkta) izbūvi saistītu kontakttīkla materiālu iegādes un kontakttīklu izbūves, pārbūves un atjaunošanas izmaksas, kā arī saistītu elektroapgādes sistēmu – kabeļu trašu un apakšstaciju – izbūves, pārbūves un atjaunošanas izmaksas, tostarp saistībā ar jaudas palielināšanu, lai nodrošinātu to funkcionēšanu;".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29.15.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"29.15. viedo, digitālo un videi draudzīgo iekārtu un aprīkojuma iegāde un uzstādīšana (tostarp elektroniskais tablo) saistībā ar tramvaja līnijas un trolejbusa līnijas izbūvi, lai nodrošinātu infrastruktūras funkcionalitāti un nodotu to ekspluatācijā;".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29.20.2.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"29.20.2. tramvaja un trolejbusa līniju pagarinājuma izbūvei atbalsts tiek sniegts, ievērojot regulas Nr. 1370/2007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40.2.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"40.2. 100 procentus no kopējām attiecināmajām izmaksām šo noteikumu 29.1., 29.2., 29.3., 29.4., 29.9., 29.10.1., 29.10.2., 29.10.3., 29.11., 29.12., 29.13., 29.15. un 29.20.2. apakšpunktā minētajām izmaksām šo noteikumu 11.3. apakšpunktā norādītā projekta īstenošanai, piemērojot regulas Nr. 1370/2007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44.2.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"44.2. komercdarbības atbalsts netiek sniegts finansējuma saņēmējam, uz kuru attiecas līdzekļu atgūšanas rīkojums saskaņā ar regulas Nr. 651/2014 1. panta 4. punktu. Finansējuma saņēmējs tiek vērtēts uzņēmuma grupas līmenī, ņemot vērā visus ar to saistītos uzņēmumus."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44.3.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"44.3. saņēmējam piešķiramais atbalsts nepārsniedz regulas Nr. 651/2014 4. panta 1. punkta "s b" apakšpunktā noteikto apmēru. Finansējuma saņēmējs tiek vērtēts uzņēmuma grupas līmenī, ņemot vērā visus ar to saistītos uzņēmumus;".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50.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Komercdarbības atbalsta nosacījumu uzraudzība: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 regulas Nr. 1370/2007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7</w:t>
      </w:r>
      <w:r w:rsidR="00000000" w:rsidRPr="00000000" w:rsidDel="00000000">
        <w:rPr>
          <w:rtl w:val="0"/>
        </w:rPr>
        <w:t xml:space="preserve">. pantā un 1. </w:t>
      </w:r>
      <w:r w:rsidR="00000000" w:rsidRPr="00000000" w:rsidDel="00000000">
        <w:rPr>
          <w:rtl w:val="0"/>
        </w:rPr>
        <w:t xml:space="preserve">pielikumā</w:t>
      </w:r>
      <w:r w:rsidR="00000000" w:rsidRPr="00000000" w:rsidDel="00000000">
        <w:rPr>
          <w:rtl w:val="0"/>
        </w:rPr>
        <w:t xml:space="preserve"> noteikto komercdarbības atbalsta nosacījumu uzraudzību šo noteikumu 11.3.  apakšpunktā minētajam projektam saskaņā ar Sabiedriskā transporta pakalpojumu likuma 5. panta otrās daļas 4. punktu veic Rīgas valstspilsētas pašvaldība;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50.2. regulas Nr. 651/2014 komercdarbības atbalsta nosacījumu uzraudzību šo noteikumu 29.17. apakšpunktā minēto darbību īstenošanai, ņemot vērā šo noteikumu 42. punkta nosacījumus, nodrošina ministrija."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 53.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62.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Šo noteikumu 11.1. apakšpunktā minētais projekts ir identificēts kā stratēģiski svarīgs projekts, kuram ministrija nodrošina pastiprinātus komunikācijas un publicitātes pasākumus."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24-TA-3290</w:t>
    </w:r>
    <w:r>
      <w:br/>
    </w:r>
    <w:r w:rsidR="00000000" w:rsidRPr="00000000" w:rsidDel="00000000">
      <w:rPr>
        <w:rtl w:val="0"/>
      </w:rPr>
      <w:t xml:space="preserve">Izdrukāts 29.07.2026. 22.30 - 1.0.VK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24-TA-3290</w:t>
    </w:r>
    <w:r>
      <w:br/>
    </w:r>
    <w:r w:rsidR="00000000" w:rsidRPr="00000000" w:rsidDel="00000000">
      <w:rPr>
        <w:rtl w:val="0"/>
      </w:rPr>
      <w:t xml:space="preserve">Izdrukāts 29.07.2026. 22.30 - 1.0.VK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noteikumu_(grozījumu)_projekts_24-TA-3290.docx</dc:title>
</cp:coreProperties>
</file>

<file path=docProps/custom.xml><?xml version="1.0" encoding="utf-8"?>
<Properties xmlns="http://schemas.openxmlformats.org/officeDocument/2006/custom-properties" xmlns:vt="http://schemas.openxmlformats.org/officeDocument/2006/docPropsVTypes"/>
</file>