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62.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3.2.1. specifiskā atbalsta mērķa "Attīstīt noturīgu aizsardzības infrastruktūru, prioritāri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3.2.1. specifiskā atbalsta mērķa "Attīstīt noturīgu aizsardzības infrastruktūru, prioritāri atbalstot divējāda lietojuma infrastruktūru, kā arī uzlabot civilo sagatavotību" 3.2.1.1. pasākumu "Bezpilota lidaparātu uztveršanas, identifikācijas, izsekošanas un pretdarbības risinājuma ieviešana"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valsts akciju sabiedrības "Starptautiskā lidosta "Rīga"" (turpmāk – Rīgas lidosta) spējas uztvert, identificēt un izsekot bezpilota lidaparātus,  kas veic nesankcionētus lidojumus gaisa satiksmes kritiskajās zonās un gaisa telpā virs Rīgas lidostas teritorijas, kuru normatīvajos aktos par gaisa telpas pārvaldību noteiktajā kārtībā noteikusi valsts aģentūra "Civilās aviācijas aģentūra" sadarbībā ar lidlauka īpašnieku vai valdītāju un gaisa satiksmes pakalpojumu sniedzēju, kā arī pretdarboties minētajiem bezpilota lidaparātiem, ņemot vērā pieaugošos riskus, ko rada nesankcionēta bezpilota lidaparātu izmantošana.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gaisa transporta infrastruktūras lietotāji.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kopējais plānotais finansējums ir 2 420 500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1 954 863 </w:t>
      </w:r>
      <w:r w:rsidR="00000000" w:rsidRPr="00000000" w:rsidDel="00000000">
        <w:rPr>
          <w:i w:val="1"/>
          <w:rtl w:val="0"/>
        </w:rPr>
        <w:t xml:space="preserve">euro</w:t>
      </w:r>
      <w:r w:rsidR="00000000" w:rsidRPr="00000000" w:rsidDel="00000000">
        <w:rPr>
          <w:rtl w:val="0"/>
        </w:rPr>
        <w:t xml:space="preserve"> un privātais līdzfinansējums – 465 637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Eiropas Reģionālās attīstības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līdz 2029. gada 31. decembrim, sasniedzot: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nacionālos iznākuma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uzstādīts nesankcionētu bezpilota lidaparātu identificēšanas radaru sistēmas un komandvadības komplekts;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uzstādīta nesankcionētu bezpilota lidaparātu attālinātas vadības signālu slāpēšanas iekārta un sistēmas integrācija;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rezultāta rādītāju – ieviests komplekss tehnoloģiskais risinājums nesankcionētu bezpilota lidaparātu identificēšanai un signālu slāpēšanai.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ir sasniegti, kad atbilstoši noslēgtajiem līgumiem ir piegādātas un uzstādītas iekārtas, sistēmas un nepieciešamais programmnodrošinājums un to apliecina pieņemšanas un nodošanas akti, kā arī pabeigti projektā paredzētie būvdarbi (ja tādi paredzēti), kas tiek pamatoti ar iesniegtiem būvdarbu pabeigšanu pamatojošiem dokumentiem, un objekti ir nodoti ekspluatācijā saskaņā ar būvniecības jomu reglamentējošajiem normatīvajiem aktiem, kā arī ieviests komplekss tehnoloģisks risinājums un projekts ir pabeigts.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Satiksmes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projekta iesniedzējs ir Rīgas lidosta.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un iesniedz to Kohēzijas politikas fondu vadības informācijas sistēmā, pievienojot projektam veikto ekonomisko analīzi.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darbības, kas vērstas uz bezpilota lidaparātu uztveršanas, identifikācijas, izsekošanas un pretdarbības risinājuma ieviešanu, paredzot tādu inovatīvu un kompleksu tehnoloģisko risinājumu ieviešanu sistēmās, kas spēs nodrošināt gaisa satiksmes, pasažieru un Rīgas lidostas drošību gaisa satiksmes kritiskajā zonā un Rīgas lidostas teritorijā.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minētās tiešās attiecināmās izmaksas var ietvert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pamatojošās dokumentācijas sagatavošanas izmaksas (izņemot projekta iesnieguma veidlapas aizpildīšanas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radara sistēmas un ar tās funkcionalitāti saistīto moduļu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attālinātas vadības signālu slāpēšanas iekārtas iegādes izmaksas, kā arī jebkādi citi pretdarbības vai slāpēšanas risinājumi;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komandvadības (C2) programmnodrošinājuma licenču un to atjauninājumu izmaksas licenču darbības periodā, kas nepārsniedz piecus gadus no iegādes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šo noteikumu </w:t>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minēto iekārtu un programmnodrošinājuma uzstādīšanu, testēšanu un integrāciju finansējuma saņēmēja sistēmās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apliecinājuma kartes,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jaunas būves būvniecības, esošas būves pārbūves un atjaunošanas izmaksas atbilstoši būvprojektam, kā arī būvlaukuma ierīkošanas un novākšanas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iekārtu un sistēmu uzturēšanas, tai skaitā apkalpošanas un nepieciešamo remontdarbu, izmaksas līdz projekta īstenošanas beigām, ja nepieciešams, piesaistot attiecīgās jomas speciālistus;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nepieciešamo programmnodrošinājumu iegādes, atjauninājumu, uzlabojumu vai licenču darbības pagarināšanas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personāla apmācību izmaksas par jauno tehnoloģiju lietošanu;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attiecīgo būvspeciālistu apdrošināšanas un normatīvajos aktos būvniecības jomā noteiktās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personāla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16.12.</w:t>
      </w:r>
      <w:r w:rsidR="00000000" w:rsidRPr="00000000" w:rsidDel="00000000">
        <w:rPr>
          <w:rtl w:val="0"/>
        </w:rPr>
        <w:t xml:space="preserve"> apakšpunktā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Projektā plānotās attiecināmās izmaksas netiek finansētas vai līdzfinansētas, kā arī tās nav plānots finansēt vai līdzfinansēt no citiem valsts un ārvalstu finanšu atbalsta instrumentiem.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īstenošanā radušās izmaksas var uzskatīt par attiecināmām finansēšanai no Eiropas Reģionālās attīstības fonda, ja tās atbilst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izmaksu pozīcijām un ir radušās ne agrāk kā 2025. gada 29. maijā. Projekta iesniegumā neiekļauj un finansējumu nepiešķir darbībām, kas pabeigtas līdz projekta iesnieguma iesniegšanas dienai.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īstenošanas gaitā radušās sadārdzinājuma izmaksas, kas pārsniedz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noteikto kopējo plānoto finansējumu, finansējuma saņēmējs sedz no saviem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 projekta īstenošanā radītās vērtības un nodrošina par saviem vai papildus piesaistītiem līdzekļiem to uzturēšanu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un pakalpojumu iepirkumos (zaļais publiskais iepirkums) un, kur tas ir attiecināms un atbilstošs ieguldījumu specifikai, publiskos iepirkumus īsteno sociāli atbildīgā veidā, piemērojot sociāli atbildīgā publiskā iepirkuma un inovatīvā publiskā iepirkuma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normatīvajiem aktiem publisko iepirkumu jomā,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projektā sasniegtajiem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w:t>
      </w:r>
      <w:r w:rsidR="00000000" w:rsidRPr="00000000" w:rsidDel="00000000">
        <w:rPr>
          <w:rtl w:val="0"/>
        </w:rPr>
        <w:t xml:space="preserve">47. un 50. pantu</w:t>
      </w:r>
      <w:r w:rsidR="00000000" w:rsidRPr="00000000" w:rsidDel="00000000">
        <w:rPr>
          <w:rtl w:val="0"/>
        </w:rPr>
        <w:t xml:space="preserve"> un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pasākuma īstenošanas laikā nekustamie īpašumi, kuri nepieciešami projekta īstenošanai, ir finansējuma saņēmēja īpašumā vai lietošanā. Ja pasākuma ietvaros nepieciešams veikt būvniecību, to veic uz zemesgrāmatā ierakstītas lietu tiesības pamata, saskaņojot būvniecības ieceri ar projekta īstenošanai nepieciešamo nekustamo īpašumu īpašniekiem atbilstoši normatīvo aktu nosacījumiem būvniecības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sasniegto rezultātu ilgtspēju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glabā projekta dokumentāciju un nodrošina tās pieejamību visā projekta īstenošanas laikā un uzraudzības periodā, kas nepārsniedz piecus gadus pēc pēdējā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attiecināms, ievēro horizontālo principu "Klimatdrošināšana" un uzkrāj datus par projekta ietekmi uz horizontālā principa "Klimatdrošināšana" aspektiem – klimata pārmaiņu mazināšanu un pielāgošanos klimata pārmaiņām;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atsevišķu darījumu ieņēmumu un izdevumu grāmatvedības uzskaiti, kā arī darbību un ar to īstenošanu saistīto finanšu plūsmu nodalīšanu.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projektu īsteno saskaņā ar noslēgto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īstenošanā veiktie ieguldījumi ir finansējuma saņēmēja īpašums.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25-TA-1859</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25-TA-1859</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noteikumu_projekts_25-TA-1859.docx</dc:title>
</cp:coreProperties>
</file>

<file path=docProps/custom.xml><?xml version="1.0" encoding="utf-8"?>
<Properties xmlns="http://schemas.openxmlformats.org/officeDocument/2006/custom-properties" xmlns:vt="http://schemas.openxmlformats.org/officeDocument/2006/docPropsVTypes"/>
</file>