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mazākumtautību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21011121, 11011121, 21011123, 21011124, 23011121, 23011123, 23011124)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mazākumtautību programmas (turpmāk – izglītības programma) mērķis ir nodrošināt skolēna vispusīgu attīstību un vērtīborientāciju, lai skolēns gribētu un valsts valodā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r w:rsidR="00000000" w:rsidRPr="00000000" w:rsidDel="00000000">
        <w:rPr>
          <w:b w:val="1"/>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izstrādājot savu izglītības programmu un iekļaujot mācību priekšmetus, kas nav ietverti pamatizglītības programmas paraugā,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iestāde skolēnam izstrādā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Izglītības iestāde nodrošina normatīvajos aktos noteiktajām higiēnas prasībām atbilstošu mācību procesu, iekļaujošu, intelektuālo un sociāli emocionālo attīstību un veselību veicinošu, fiziski un emocionāli drošu mācību vidi, kas atbilst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noteikumu_konsolidētā_versija_p12_22-TA-2947.docx</dc:title>
</cp:coreProperties>
</file>

<file path=docProps/custom.xml><?xml version="1.0" encoding="utf-8"?>
<Properties xmlns="http://schemas.openxmlformats.org/officeDocument/2006/custom-properties" xmlns:vt="http://schemas.openxmlformats.org/officeDocument/2006/docPropsVTypes"/>
</file>