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12. martā (prot. Nr. 11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2. aprīļa noteikumos Nr. 140 "Norvēģijas finanšu instrumenta 2014.–2021. gada perioda programmas "Korekcijas dienesti"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Ekonomikas zonas finanšu instrumenta</w:t>
      </w:r>
      <w:r>
        <w:br/>
      </w:r>
      <w:r w:rsidR="00000000" w:rsidRPr="00000000" w:rsidDel="00000000">
        <w:rPr>
          <w:rStyle w:val="paragraph"/>
          <w:i w:val="1"/>
          <w:rtl w:val="0"/>
        </w:rPr>
        <w:t xml:space="preserve">un Norvēģijas finanšu instrumenta 2014.–2021. gada perioda</w:t>
      </w:r>
      <w:r>
        <w:br/>
      </w:r>
      <w:r w:rsidR="00000000" w:rsidRPr="00000000" w:rsidDel="00000000">
        <w:rPr>
          <w:rStyle w:val="paragraph"/>
          <w:i w:val="1"/>
          <w:rtl w:val="0"/>
        </w:rPr>
        <w:t xml:space="preserve">vadības likuma 15. panta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2019. gada 2. aprīļa noteikumos Nr. 140 "Norvēģijas finanšu instrumenta 2014.–2021. gada perioda programmas "Korekcijas dienesti" īstenošanas noteikumi" (Latvijas Vēstnesis, 2019, 68. nr.; 2023, 131.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Kopējais programmas finansējums ir 14 841 262 </w:t>
      </w:r>
      <w:r w:rsidR="00000000" w:rsidRPr="00000000" w:rsidDel="00000000">
        <w:rPr>
          <w:i w:val="1"/>
          <w:rtl w:val="0"/>
        </w:rPr>
        <w:t xml:space="preserve">euro</w:t>
      </w:r>
      <w:r w:rsidR="00000000" w:rsidRPr="00000000" w:rsidDel="00000000">
        <w:rPr>
          <w:rtl w:val="0"/>
        </w:rPr>
        <w:t xml:space="preserve">, no kuriem Latvijas valsts budžeta līdzfinansējums 15 % apmērā – 2 226 189 </w:t>
      </w:r>
      <w:r w:rsidR="00000000" w:rsidRPr="00000000" w:rsidDel="00000000">
        <w:rPr>
          <w:i w:val="1"/>
          <w:rtl w:val="0"/>
        </w:rPr>
        <w:t xml:space="preserve">euro</w:t>
      </w:r>
      <w:r w:rsidR="00000000" w:rsidRPr="00000000" w:rsidDel="00000000">
        <w:rPr>
          <w:rtl w:val="0"/>
        </w:rPr>
        <w:t xml:space="preserve"> un Norvēģijas finanšu instrumenta līdzfinansējums 85 % apmērā – 12 615 073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Projekta izmaksu attiecināmības termiņš ir 2024. gada 30. aprīlis. Lai nodrošinātu projekta darbības laikā noslēgtajos līgumos paredzēto darbu izpildi, ja tie tieši nodrošina programmas mērķa sasniegšanu un tos objektīvu iemeslu dēļ nav iespējams pabeigt līdz 2024. gada 30. aprīlim, norēķiniem par izpildītajiem darbiem līdz 2024. gada 31. decembrim var izmantot piegādātāju darījumu kontus. Darījuma kontu atvēršanas un uzturēšanas izdevumus sedz no piegādātāja vai valsts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Saskaņā ar Saprašanās memorandu starp Norvēģijas Karalisti un Latvijas Republiku programmā paredzēto divpusējās sadarbības aktivitāšu īstenošanai ir piešķirti 484 928 </w:t>
      </w:r>
      <w:r w:rsidR="00000000" w:rsidRPr="00000000" w:rsidDel="00000000">
        <w:rPr>
          <w:i w:val="1"/>
          <w:rtl w:val="0"/>
        </w:rPr>
        <w:t xml:space="preserve">euro</w:t>
      </w:r>
      <w:r w:rsidR="00000000" w:rsidRPr="00000000" w:rsidDel="00000000">
        <w:rPr>
          <w:rtl w:val="0"/>
        </w:rPr>
        <w:t xml:space="preserve"> (turpmāk – divpusējās sadarbības fonda finansējums), kas ir Norvēģijas finanšu instrumenta līdzfinansējums 100 %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 un 1.3. apakšpunkts stājas spēkā nākamajā dienā pēc tam, kad oficiālajā izdevumā "Latvijas Vēstnesis" publicēts paziņojums par to, ka programmas finansējuma pārdale ir saskaņota starp Finanšu ministriju un Finanšu instrumenta biroju.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 pēc tam, kad no Finanšu ministrijas ir saņemta informācija par programmas finansējuma pārdales saskaņošanu, nosūta attiecīgu paziņojumu publicēšanai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ministres vietā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24-TA-486</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24-TA-486</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noteikumu_(grozījumu)_projekts_24-TA-486.docx</dc:title>
</cp:coreProperties>
</file>

<file path=docProps/custom.xml><?xml version="1.0" encoding="utf-8"?>
<Properties xmlns="http://schemas.openxmlformats.org/officeDocument/2006/custom-properties" xmlns:vt="http://schemas.openxmlformats.org/officeDocument/2006/docPropsVTypes"/>
</file>