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Reglamentēto profesiju specialitāšu un apakšspecialitāšu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2988"/>
        <w:gridCol w:w="3181"/>
        <w:gridCol w:w="2699"/>
        <w:tblGridChange w:id="0">
          <w:tblGrid>
            <w:gridCol w:w="578"/>
            <w:gridCol w:w="2988"/>
            <w:gridCol w:w="3181"/>
            <w:gridCol w:w="269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vadītājs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tirdzniecības kuģiem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Kapteinis/šķiperis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tirdzniecības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Locis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satiksmes operators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tirdzniecības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saldēšanas iekārtu 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Ierindas jūrnieks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mašīnists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pavārs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Stjuarts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Traļmeistars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Virpotājs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Metinātājs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Atslēdznieks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Radiospeciālists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Radiooperators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GMDSS (globālās jūras negadījumu un drošības sakaru sistēmas) 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Tāljūras radiooperators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Piekrastes radiooperators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Profesijas ciltsdarba jomā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pārraugs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apsēklošanas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vērtēšanas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advokāta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(kurortologs)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bottom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  <w:tc>
          <w:tcPr>
            <w:shd w:fill="ffffff"/>
            <w:vAlign w:val="bottom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anestēzijā un intensīvajā aprūpē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bērnu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psihiatrijā un narkoloģijā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perioperatīvajā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 būveksperts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