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7. martā (prot. Nr. 13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w:t>
      </w:r>
      <w:r>
        <w:br/>
      </w:r>
      <w:r w:rsidR="00000000" w:rsidRPr="00000000" w:rsidDel="00000000">
        <w:rPr>
          <w:rStyle w:val="paragraph"/>
          <w:i w:val="1"/>
          <w:rtl w:val="0"/>
        </w:rPr>
        <w:t xml:space="preserve">ceturto daļu un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16. jūnija noteikumos Nr. 383 "Noteikumi par garantijām saimnieciskās darbības veicējiem konkurētspējas uzlabošanai" (Latvijas Vēstnesis, 2020, 119., 248. nr.; 2022,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13.1.1.1. pasākumam – ERAF finansējums 7 459 282 </w:t>
      </w:r>
      <w:r w:rsidR="00000000" w:rsidRPr="00000000" w:rsidDel="00000000">
        <w:rPr>
          <w:i w:val="1"/>
          <w:rtl w:val="0"/>
        </w:rPr>
        <w:t xml:space="preserve">euro</w:t>
      </w:r>
      <w:r w:rsidR="00000000" w:rsidRPr="00000000" w:rsidDel="00000000">
        <w:rPr>
          <w:rtl w:val="0"/>
        </w:rPr>
        <w:t xml:space="preserve"> un valsts budžeta finansējums 1 540 719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 to saimnieciskās darbības veicēju skaits, kuri saņem finansiālu atbalstu, kas nav granti, – 20;".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privātais finansējums, kas piesaistīts publiskajam finansējumam, –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Saimnieciskās darbības veicējiem, kuru darbības nozare ir NACE 2. redakcijas grupa "Ceļojumu biroju, tūrisma operatoru un citi rezervēšanas pakalpojumi un ar tiem saistītas darbības", garantijas prēmiju, kas aprēķināta saskaņā ar šo noteikumu 19. punktu un paredzēta šo noteikumu 8.5. apakšpunktā minēto finanšu pakalpojumu garantēšanai, var samazināt, bet ne vairāk kā 90 %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3.1.1.1. pasākuma īstenošanas laikā atmaksātais publiskais finansējums 3.1.1.1. pasākuma pārvaldības izdevumu segšanai, tai skaitā kapitāla atdeves segšanai, ievērojot atbilstoši Attīstības finanšu institūcijas likumam izstrādāto programmu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Sabiedrības "Altum" kapitāla atdeves segšanai no 2019. gada izmanto šo noteikumu 7.1. apakšpunktā minēto atmaksāto finansējumu vidēji 10 % apmērā gadā visā programmas īstenošanas laikā no sabiedrības "Altum" kapitāla, kas paredzēts šajos noteikumos minēto finanšu instrumentu kredītrisku, operacionālo risku un citu risku segšanai, ievērojot atbilstoši Attīstības finanšu institūcijas likumam izstrādāto programmu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Šo noteikumu 19.</w:t>
      </w:r>
      <w:r w:rsidR="00000000" w:rsidRPr="00000000" w:rsidDel="00000000">
        <w:rPr>
          <w:vertAlign w:val="superscript"/>
          <w:rtl w:val="0"/>
        </w:rPr>
        <w:t xml:space="preserve">1</w:t>
      </w:r>
      <w:r w:rsidR="00000000" w:rsidRPr="00000000" w:rsidDel="00000000">
        <w:rPr>
          <w:rtl w:val="0"/>
        </w:rPr>
        <w:t xml:space="preserve"> punkts stājas spēkā ar dienu, kad Eiropas Savienības fondu uzraudzības komiteja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37. panta 3. punkta trešo daļu ir saskaņojusi tirgus nepilnību izvērtējumu."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Ekonomikas ministrija pēc tam, kad Eiropas Savienības fondu uzraudzības komiteja ir saskaņojusi šo noteikumu 42. punktā minēto tirgus nepilnību izvērtējumu, nosūta attiecīgu paziņojumu publicēšanai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22-TA-3622</w:t>
    </w:r>
    <w:r>
      <w:br/>
    </w:r>
    <w:r w:rsidR="00000000" w:rsidRPr="00000000" w:rsidDel="00000000">
      <w:rPr>
        <w:rtl w:val="0"/>
      </w:rPr>
      <w:t xml:space="preserve">Izdrukāts 29.07.2026. 21.34 - 2.0.VK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22-TA-3622</w:t>
    </w:r>
    <w:r>
      <w:br/>
    </w:r>
    <w:r w:rsidR="00000000" w:rsidRPr="00000000" w:rsidDel="00000000">
      <w:rPr>
        <w:rtl w:val="0"/>
      </w:rPr>
      <w:t xml:space="preserve">Izdrukāts 29.07.2026. 21.34 - 2.0.VK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noteikumu_(grozījumu)_projekts_22-TA-3622.docx</dc:title>
</cp:coreProperties>
</file>

<file path=docProps/custom.xml><?xml version="1.0" encoding="utf-8"?>
<Properties xmlns="http://schemas.openxmlformats.org/officeDocument/2006/custom-properties" xmlns:vt="http://schemas.openxmlformats.org/officeDocument/2006/docPropsVTypes"/>
</file>