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4.3.6.6. pasākumu "Bērnu pieskatīšanas pakalpojumi"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Sociālā fonda Plus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sniegt atbalstu pašvaldībām privātā pirmsskolas izglītības pakalpojuma un bērnu uzraudzības pakalpojuma (turpmāk abi kopā – bērnu pieskatīšanas pakalpojumi) iegādei, veicinot darba un ģimenes dzīves līdzsvarošanu un vienlīdzīgas iespējas visām ģimenēm.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Pirmsskolas vecuma bērni šo noteikumu izpratnē ir bērni no pusotra gada vecuma līdz pamatizglītības ieguves uzsākšanai.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ģimenes, kuras audzina pirmsskolas vecuma bērnus un kurām pašvaldības, kuru administratīvajā teritorijā ir deklarēta šo bērnu un vismaz viena šī bērna vecāka (likumiskā pārstāvja) dzīvesvieta, nenodrošina vietas pašvaldību pirmsskolas izglītības iestādēs, tai skaitā sociāli un ekonomiski mazaizsargāto personu grupas.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rādītāju – atbalstu saņēmuši bērni vecumā līdz 18 gadiem – vismaz 1239 bērni, tai skaitā par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finansējumu – vismaz 1043 bērni;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rādītāju – bērni, kas saņēmuši pirmsskolas izglītības pakalpojumus vismaz vienu līdz trīs gadus – 1177 bērni, tai skaitā par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finansējumu – 991 bērns.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noteiktais iznākuma rādītājs ir sasniegts, kad projektā paredzētajam bērnu skaitam tiek nodrošināti bērnu pieskatīšanas pakalpojumi un to pamato sadarbības iestādē iesniegti pašvaldības un bērnu pieskatīšanas pakalpojumu sniedzēja noslēgtā pakalpojumu līguma nosacījumu izpildi pamatojoši dokumenti.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noteiktais rezultāta rādītājs ir sasniegts, kad finansējuma saņēmējs iesniedz sadarbības iestādē un sadarbības iestāde apstiprina noslēguma maksājuma pieprasījumu, kurā pamatota rādītāju sasniegšana. Ja finansējuma saņēmējs rezultāta rādītāja vērtību sasniedz, sadarbības iestāde turpmāko projekta rezultāta rādītāja izpildes kontroli neveic.</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kopējais finansējums ir ne mazāks kā 19 140 000 </w:t>
      </w:r>
      <w:r w:rsidR="00000000" w:rsidRPr="00000000" w:rsidDel="00000000">
        <w:rPr>
          <w:i w:val="1"/>
          <w:rtl w:val="0"/>
        </w:rPr>
        <w:t xml:space="preserve">euro </w:t>
      </w:r>
      <w:r w:rsidR="00000000" w:rsidRPr="00000000" w:rsidDel="00000000">
        <w:rPr>
          <w:rtl w:val="0"/>
        </w:rPr>
        <w:t xml:space="preserve">(tai skaitā elastības finansējums – 3 019 815 </w:t>
      </w:r>
      <w:r w:rsidR="00000000" w:rsidRPr="00000000" w:rsidDel="00000000">
        <w:rPr>
          <w:i w:val="1"/>
          <w:rtl w:val="0"/>
        </w:rPr>
        <w:t xml:space="preserve">euro</w:t>
      </w:r>
      <w:r w:rsidR="00000000" w:rsidRPr="00000000" w:rsidDel="00000000">
        <w:rPr>
          <w:rtl w:val="0"/>
        </w:rPr>
        <w:t xml:space="preserve">), tai skaitā Eiropas Sociālā fonda Plus finansējums 16 269 000 </w:t>
      </w:r>
      <w:r w:rsidR="00000000" w:rsidRPr="00000000" w:rsidDel="00000000">
        <w:rPr>
          <w:i w:val="1"/>
          <w:rtl w:val="0"/>
        </w:rPr>
        <w:t xml:space="preserve">euro </w:t>
      </w:r>
      <w:r w:rsidR="00000000" w:rsidRPr="00000000" w:rsidDel="00000000">
        <w:rPr>
          <w:rtl w:val="0"/>
        </w:rPr>
        <w:t xml:space="preserve">(tai skaitā elastības finansējums – 2 566 843 </w:t>
      </w:r>
      <w:r w:rsidR="00000000" w:rsidRPr="00000000" w:rsidDel="00000000">
        <w:rPr>
          <w:i w:val="1"/>
          <w:rtl w:val="0"/>
        </w:rPr>
        <w:t xml:space="preserve">euro</w:t>
      </w:r>
      <w:r w:rsidR="00000000" w:rsidRPr="00000000" w:rsidDel="00000000">
        <w:rPr>
          <w:rtl w:val="0"/>
        </w:rPr>
        <w:t xml:space="preserve">) un pašvaldību līdzfinansējums – ne mazāks kā 2 871 000 </w:t>
      </w:r>
      <w:r w:rsidR="00000000" w:rsidRPr="00000000" w:rsidDel="00000000">
        <w:rPr>
          <w:i w:val="1"/>
          <w:rtl w:val="0"/>
        </w:rPr>
        <w:t xml:space="preserve">euro </w:t>
      </w:r>
      <w:r w:rsidR="00000000" w:rsidRPr="00000000" w:rsidDel="00000000">
        <w:rPr>
          <w:rtl w:val="0"/>
        </w:rPr>
        <w:t xml:space="preserve">(tai skaitā elastības finansējums – 452 972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iesniegumos pasākuma īstenošanai kopējo pieejamo finansējumu plāno ne mazāk kā 16 120 185 </w:t>
      </w:r>
      <w:r w:rsidR="00000000" w:rsidRPr="00000000" w:rsidDel="00000000">
        <w:rPr>
          <w:i w:val="1"/>
          <w:rtl w:val="0"/>
        </w:rPr>
        <w:t xml:space="preserve">euro </w:t>
      </w:r>
      <w:r w:rsidR="00000000" w:rsidRPr="00000000" w:rsidDel="00000000">
        <w:rPr>
          <w:rtl w:val="0"/>
        </w:rPr>
        <w:t xml:space="preserve">apmērā, tai skaitā Eiropas Sociālā fonda Plus finansējumu 13 702 157 </w:t>
      </w:r>
      <w:r w:rsidR="00000000" w:rsidRPr="00000000" w:rsidDel="00000000">
        <w:rPr>
          <w:i w:val="1"/>
          <w:rtl w:val="0"/>
        </w:rPr>
        <w:t xml:space="preserve">euro</w:t>
      </w:r>
      <w:r w:rsidR="00000000" w:rsidRPr="00000000" w:rsidDel="00000000">
        <w:rPr>
          <w:rtl w:val="0"/>
        </w:rPr>
        <w:t xml:space="preserve"> apmērā un pašvaldību līdzfinansējumu ne mazāk kā 2 418 028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attiecināmo finansējumu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plānotajam maksimālajam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pēc projektu iesniegumu atlases paliek neizmantots Eiropas Sociālā fonda Plus finansējums, atlikušo finansējumu var novirzīt jaunai projektu iesniegumu atlasei, ko organizē pēc Eiropas Komisijas lēmuma saņemšanas par elastības finansējuma izmantošanas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Eiropas Sociālā fonda Plus finansējums projektā nepārsniedz 85 procentus no projekta kopējām attiecināmajām izmaksām. Ja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ir Rīgas plānošanas reģiona pašvaldība, Eiropas Sociālā fonda Plus finansējums projektā nepārsniedz 75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 finansējums ir ne mazāks kā 15 procenti no projekta kopējām attiecināmajām izmaksām un ne mazāks par 25 procentiem, ja projekta iesniedzējs ir Rīgas plānošanas reģiona pašvaldība.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Pašvaldība īsteno projektus, kuru kopējais Eiropas Sociālā fonda Plus finansējums nepārsniedz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ir pašvaldība. Projekta iesniedzējs pēc projekta apstiprināšanas uzskatāms par finansējuma saņēmēju.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Pašvaldība, kuras teritorijā plānots īstenot projektu, informāciju par projekta īstenošanu iekļauj pašvaldības attīstības programmā,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plānoto finansējumu un projektā sasniedzamo iznākuma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prognozi par pirmsskolas vecuma bērnu skaitu pašvaldībā projekta īstenošanas laikā novada teritoriālo vienību vai valstspilsētu noteikto teritoriālo iedalījumu griezumā (ja tas ir iespējams no datu pieejamības viedokļa), kas pamato projekta ilgtspēju, tai skaitā izvērtējot un analizējot citus risinājumus bērnu pieskatīšanas pakalpojumu pieejamības veicināšanai.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izvērtē iespēju pašvaldības saistošajos noteikumos paredzēt priekšrocības uzņemšanai pašvaldības pirmsskolas izglītības iestādē pirmsskolas vecuma bērniem no sociāli un ekonomiski mazaizsargāto personu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atbalstu var saņemt pašvaldības, kurās uz projekta iesnieguma iesniegšanas brīdi attiecīgā mācību gada 1. oktobrī ir pirmsskolas vecuma bērni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rādītāju sasniegšanu un ietver investīcijas bērnu pieskatīšanas pakalpojumu nodrošināšanai saskaņā ar pašvaldības attīstības programmu: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privātā pirmsskolas izglītības pakalpojuma iegāde, kas ietver pilnu, licencētu pirmsskolas izglītības programmas apguvi;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uzraudzības pakalpojuma iegāde;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minētās tiešās attiecināmās izmaksas, kas sekmē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kuras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četru procentu apmērā no pārējām projekta tiešajām attiecināmajām īstenošanas izmaksām, bet neieskaitot tiešās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aizpildīšanu), nepārsniedzot 10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 pirmsskolas izglītības pakalpojuma izdevumi, kas radušies uz pakalpojuma līguma pamata,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atalgojums, izņemot atalgojumu, kuru piešķir kā mērķdotāciju no valsts budžeta;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valsts sociālās apdrošināšanas obligātās iemaksas, pabalsti un kompensācijas, izņemot valsts sociālās apdrošināšanas obligātās iemaksas, kuras piešķir kā mērķdotāciju no valsts budžeta;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par sakaru pakalpojumiem;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par komunālajiem pakalpojumiem;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remontdarbi un iestāžu uzturēšanas pakalpojumi (izņemot kapitālo remontu);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tehnoloģiju pakalpojumi;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īre un noma mācību telpu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par dažādām precēm un inventāru;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kurināmais un enerģētiskie materiāli, ja pakalpojumu sniedzējs apkuri nodrošina pats;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mācību līdzekļi un materiāli;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uzraudzības pakalpojuma nodrošināšanai nepieciešamie izdevumi, kas radušies uz pakalpojuma līguma pamata: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atalgojums;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valsts sociālās apdrošināšanas obligātās iemaksas, pabalsti un kompensācijas;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līdzekļi un materiāli;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konsultācijas, pandusu noma, indukcijas cilpu noma, zīmju valodas tulka, reāllaika transkripcijas un subtitru nodrošināšana pakalpojuma saņēmējiem un pakalpojuma sniedzējiem (ja nepieciešams), kā arī  publicitātes un komunikācijas materiālu sagatavošana un izplatīšana piekļūstamā formā, nodrošinot to uztveramību ar vairāk nekā vienu sensoro kanālu.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minētās attiecināmās izmaksas neietver izdevumus par ēdināšanas pakalpojumiem un interešu izglītību.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izmaksas uz vienu izglītojamo pārsniedz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noteikto maksimālā Eiropas Sociālā fonda Plus finansējuma ierobežojumu uz vienu bērnu un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minimālā līdzfinansējuma kopsummu, atlikušās izmaksas par bērnu pieskatīšanas pakalpojumiem sedz finansējuma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minētais pakalpojums tiek nodrošināts klātienē (pirmsskolas izglītības iestādē) darbdienās ne mazāk kā 12 stundas dienā.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minēto pakalpojumu: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bērnu uzraudzības pakalpojuma sniedzējs atbilstoši normatīvajos aktos noteiktajām prasībām bērnu uzraudzības pakalpojuma sniedzējiem;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kā pilna laika bērnu uzraudzības pakalpojumu (ne mazāk kā astoņas stundas dienā);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bērna deklarētajā dzīvesvietā vai citā piemērotā vietā ārpus bērna deklarētās dzīvesvietas.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Eiropas Sociālā fonda Plus finansējums uz vienu bērnu nepārsniedz 364 </w:t>
      </w:r>
      <w:r w:rsidR="00000000" w:rsidRPr="00000000" w:rsidDel="00000000">
        <w:rPr>
          <w:i w:val="1"/>
          <w:rtl w:val="0"/>
        </w:rPr>
        <w:t xml:space="preserve">euro </w:t>
      </w:r>
      <w:r w:rsidR="00000000" w:rsidRPr="00000000" w:rsidDel="00000000">
        <w:rPr>
          <w:rtl w:val="0"/>
        </w:rPr>
        <w:t xml:space="preserve">mēnesī, un  kopējais viena bērna pieskatīšanas pakalpojumu sniegšanas laiks nav īsāks par gadu un nepārsniedz trīs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Atbalsts tiek aprēķināts proporcionāli dienu skaitam, kad bērns ir saņēmis bērnu pieskatīšanas pakalpojumus. Atbalsts bērnu pieskatīšanas pakalpojumiem tiek piešķirts par dienām, kad bērns apmeklē privāto pirmsskolas izglītības iestādi vai saņem bērnu uzraudzības pakalpojumu, un par dienām, kad bērns neapmeklē privāto pirmsskolas izglītības iestādi un nesaņem bērnu uzraudzības pakalpojumu attaisnojoša iemesla dēļ. Attaisnojošs iemesls šo noteikumu izpratnē ir bērna prombūtne bērna veselības stāvokļa dēļ, ko apliecina ārsta izziņa. Citi attaisnojoši iemesli ir prombūtnes gadījumi, par kuriem bērna vecāks (likumiskais pārstāvis) rakstiski ir informējis bērnu pieskatīšanas pakalpojumu sniedzēju un kas kopumā nepārsniedz 60 dienas kalendāra gadā.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Atbalsts tiek pārtraukts 30 dienu laikā no brīža, kad bērns tiek uzņemts pašvaldības pirmsskolas izglītības iestādē, kuras rindā bērns ir reģistrēts. Šādā gadījumā finansējuma saņēmējs atbalstu aprēķina proporcionāli dienu skaitam, kad bērns ir saņēmis bērnu pieskatīšanas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minētās netiešās attiecināmās izmaksas ir finansējuma saņēmēja projekta vadības personāla administratīvās izmaksas, kuras plāno kā vienu izmaksu pozīciju, piemērojot netiešo izmaksu vienoto likmi 15 procentu apmērā no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regulas </w:t>
      </w:r>
      <w:r w:rsidR="00000000" w:rsidRPr="00000000" w:rsidDel="00000000">
        <w:rPr>
          <w:rtl w:val="0"/>
        </w:rPr>
        <w:t xml:space="preserve"> Nr. 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Izmaksas ir attiecināmas no projekta iesnieguma iesniegšanas dienas, izņemot projektu pamatojošās dokumentācijas sagatavošanas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Izmaksas ir attiecināmas atbilstoši pašvaldības un bērnu pieskatīšanas pakalpojumu sniedzēja noslēgtajam līgumam par bērnu pieskatīšanas pakalpojumu sniegšanu, ja tās veiktas pēc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 termiņa un ja līgums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pilnu, licencētu pakalpojumu pirmsskolas izglītības programmas apguvei klātienē vai bērnu uzraudzības pakalpojumu bez papildu izmaksām izglītojamo vecākiem;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pieskatīšanas pakalpojumus rindā uz pašvaldības pirmsskolas izglītības pakalpojumu saņemšanu esošiem bērniem.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gaitā radušos sadārdzinājumu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"Vienlīdzība, iekļaušana, nediskriminācija un pamattiesību ievērošana" un Eiropas Savienības kohēzijas politikas programmā 2021.–2027. gadam noteiktajiem Eiropas Savienības un nacionālajiem normatīvajiem aktiem nevienlīdzības mazināšanas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ievērojot tajā noteikto termiņu,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plānotajiem un sasniegtajiem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rādītājiem, norādot arī atbalstu saņēmušo bērnu skaitu vecumā līdz 18 gadiem un bērnu skaitu, kas saņēmuši pirmsskolas izglītības pakalpojumus vismaz vienu līdz trīs gadus;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ietekmi uz vismaz šādiem horizontālā principa "Vienlīdzība, iekļaušana, nediskriminācija un pamattiesību ievērošana" rādītājiem: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pieskatīšanas pakalpojumu saņēmušo personu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personu skaits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saņēmušajām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minētajām personām saskaņā ar Eiropas Parlamenta un Padomes 2021. gada 24. jūnija Regulas (ES) </w:t>
      </w:r>
      <w:r w:rsidR="00000000" w:rsidRPr="00000000" w:rsidDel="00000000">
        <w:rPr>
          <w:rtl w:val="0"/>
        </w:rPr>
        <w:t xml:space="preserve">Nr. 2021/1057</w:t>
      </w:r>
      <w:r w:rsidR="00000000" w:rsidRPr="00000000" w:rsidDel="00000000">
        <w:rPr>
          <w:rtl w:val="0"/>
        </w:rPr>
        <w:t xml:space="preserve">, ar ko izveido Eiropas Sociālo fondu Plus (ESF+) un atceļ Regulu (ES) Nr. 1296/2013,  I un II pielikumu un normatīvajiem aktiem par Eiropas Savienības fondu projektu pārbaužu veikšanas kārtību 2021.–2027. gada plānošanas periodā, kas ietver kārtību, kādā iesniedz un pārbauda pārskatu par projekta dalībniekiem.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sniedz sadarbības iestādei informāciju par šo noteikumu </w:t>
      </w:r>
      <w:r w:rsidR="00000000" w:rsidRPr="00000000" w:rsidDel="00000000">
        <w:rPr>
          <w:rtl w:val="0"/>
        </w:rPr>
        <w:t xml:space="preserve">43.2. </w:t>
      </w:r>
      <w:r w:rsidR="00000000" w:rsidRPr="00000000" w:rsidDel="00000000">
        <w:rPr>
          <w:rtl w:val="0"/>
        </w:rPr>
        <w:t xml:space="preserve">apakšpunktā</w:t>
      </w:r>
      <w:r w:rsidR="00000000" w:rsidRPr="00000000" w:rsidDel="00000000">
        <w:rPr>
          <w:rtl w:val="0"/>
        </w:rPr>
        <w:t xml:space="preserve"> minētā horizontālā principa rādītājiem vienlaikus ar informāciju par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minētā rezultāta rādītāja vērtības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prasības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tai skaitā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nodrošina, lai projektā paredzētās atbalstāmās darbības un attiecināmās izmaksas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saimnieciskā gada ietvaros (piemēram, projekta iesniedzējam ir pabeigts privātā pirmsskolas izglītības pakalpojuma vai bērnu uzraudzības pakalpojuma iepirkums vai noslēgts līgums par minēto pakalpojumu sniegšanu), var piešķirt finansējuma saņēmējam avansu līdz 30 procentiem no projektam piešķirtā Eiropas Sociālā fonda Plus finansējuma pēc tam, kad noslēgta vienošanās par projekta īstenošanu, ievērojot, ka avansu var izmaksāt vairākos maksājumos un avansa un starpposma maksājumu kopsumma nepārsniedz 90 procentus no projektam piešķirtā Eiropas Sociālā fonda Plus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Pašvaldības un bērnu pieskatīšanas pakalpojumu sniedzēja noslēgtais līgums par bērnu pieskatīšanas pakalpojumu sniegšanu tiek slēgts uz termiņu, kas nav īsāks par projekta īstenošanas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iesniedzējs projektā plānoto bērnu pieskatīšanas pakalpojumu sniedzēju izvēlas līdz projekta iesnieguma iesniegšanas brīdim sadarbības iestādē normatīvajos aktos publisko iepirkumu jomā paredzētajā kārtībā, īstenojot atklātu, pārredzamu, nediskriminējošu un konkurenci nodrošinošu konkursa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iesniedzējs viena projekta ietvaros var slēgt līgumus ar vairākiem Izglītības iestāžu reģistrā reģistrētiem un licencētas pirmsskolas izglītības programmas īstenojošiem pirmsskolas izglītības pakalpojuma sniedzējiem un vairākiem Bērnu uzraudzības pakalpojumu sniedzēju reģistrā reģistrētiem bērnu uzraudzības pakalpojumu 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Pasākuma īstenošanai veicamajos preču un pakalpojumu iepirkumos atbalstāma ir vides prasību integrācija, kā arī sociāli atbildīgs publiskais iepirkums.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23-TA-873</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23-TA-873</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noteikumu_projekts_23-TA-873.docx</dc:title>
</cp:coreProperties>
</file>

<file path=docProps/custom.xml><?xml version="1.0" encoding="utf-8"?>
<Properties xmlns="http://schemas.openxmlformats.org/officeDocument/2006/custom-properties" xmlns:vt="http://schemas.openxmlformats.org/officeDocument/2006/docPropsVTypes"/>
</file>