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 19. panta</w:t>
      </w:r>
      <w:r w:rsidR="00000000" w:rsidRPr="00000000" w:rsidDel="00000000">
        <w:rPr>
          <w:rStyle w:val="paragraph"/>
          <w:i w:val="1"/>
          <w:rtl w:val="0"/>
        </w:rPr>
        <w:t xml:space="preserve">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 (Latvijas Vēstnesis, 2023, 136. nr.; 2024, 40., 169., 246. nr.; 2025, 167.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Pasākuma ietvaros plānotais kopējais pieejamais finansējums ir 87 249 026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74 161 672 </w:t>
      </w:r>
      <w:r w:rsidR="00000000" w:rsidRPr="00000000" w:rsidDel="00000000">
        <w:rPr>
          <w:i w:val="1"/>
          <w:rtl w:val="0"/>
        </w:rPr>
        <w:t xml:space="preserve">euro </w:t>
      </w:r>
      <w:r w:rsidR="00000000" w:rsidRPr="00000000" w:rsidDel="00000000">
        <w:rPr>
          <w:rtl w:val="0"/>
        </w:rPr>
        <w:t xml:space="preserve">un valsts budžeta finansējums – 13 087 354 </w:t>
      </w:r>
      <w:r w:rsidR="00000000" w:rsidRPr="00000000" w:rsidDel="00000000">
        <w:rPr>
          <w:i w:val="1"/>
          <w:rtl w:val="0"/>
        </w:rPr>
        <w:t xml:space="preserve">euro</w:t>
      </w:r>
      <w:r w:rsidR="00000000" w:rsidRPr="00000000" w:rsidDel="00000000">
        <w:rPr>
          <w:rtl w:val="0"/>
        </w:rPr>
        <w:t xml:space="preserve">. Maksimālais attiecināmais ERAF finansējuma apmērs nepārsniedz 85 procentus no projekta kopējā attiecināmā finansējuma.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"45.3. maksa par preču zīmes reģistrēšanu;".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 45.4.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 45.7.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45.9.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"45.9. ārvalstu atbilstošās nozares eksperta piesaiste eksporta tirgos eksporta tirgus stratēģijas īstenošanai, kā arī ārvalstu tirdzniecības aģenta piesaiste tirgus darbības pārorientācijai: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45.9.1. ārvalstu atbilstošās nozares eksperta pakalpojuma izmaksas eksporta tirgus stratēģijas īstenošanai dalībnieka eksporta tirgos;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45.9.2. tirdzniecības aģentu pakalpojumu piesaistes izmaksas tirgus darbības pārorientācijai;".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 45.14.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49.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Šo noteikumu 45.13. apakšpunktā minēto starptautisko sporta pasākumu un starptautisko izstāžu organizēšana Latvijā ir atbalstāma, ja ārvalstu apmeklētāji vai ārvalstu dalībnieki ir vismaz no četrām valstīm un to skaits starptautiskajā sporta pasākumā un starptautiskajā izstādē ir ne mazāk kā 500, un pasākuma ilgums ir vismaz divas dienas pēc kārtas."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49.</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51.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"51. Maksimāli pieļaujamā atbalsta summa šo noteikumu 45.3. un 45.5. apakšpunktā minētajām attiecināmajām izmaksām ir ne vairāk kā 5 000 </w:t>
      </w:r>
      <w:r w:rsidR="00000000" w:rsidRPr="00000000" w:rsidDel="00000000">
        <w:rPr>
          <w:i w:val="1"/>
          <w:rtl w:val="0"/>
        </w:rPr>
        <w:t xml:space="preserve">euro </w:t>
      </w:r>
      <w:r w:rsidR="00000000" w:rsidRPr="00000000" w:rsidDel="00000000">
        <w:rPr>
          <w:rtl w:val="0"/>
        </w:rPr>
        <w:t xml:space="preserve">vienam gala labuma guvējam kalendāra gadā, savukārt šo noteikumu 45.8. un 45.9. apakšpunktā minētajām attiecināmajām izmaksām – ne vairāk kā 8 000 </w:t>
      </w:r>
      <w:r w:rsidR="00000000" w:rsidRPr="00000000" w:rsidDel="00000000">
        <w:rPr>
          <w:i w:val="1"/>
          <w:rtl w:val="0"/>
        </w:rPr>
        <w:t xml:space="preserve">euro </w:t>
      </w:r>
      <w:r w:rsidR="00000000" w:rsidRPr="00000000" w:rsidDel="00000000">
        <w:rPr>
          <w:rtl w:val="0"/>
        </w:rPr>
        <w:t xml:space="preserve">vienam gala labuma guvējam kalendāra gadā. Maksimālā pieļaujamā atbalsta summa šo noteikumu 45.12. apakšpunktā minētajām attiecināmajām izmaksām ir ne vairāk kā 12 000 </w:t>
      </w:r>
      <w:r w:rsidR="00000000" w:rsidRPr="00000000" w:rsidDel="00000000">
        <w:rPr>
          <w:i w:val="1"/>
          <w:rtl w:val="0"/>
        </w:rPr>
        <w:t xml:space="preserve">euro </w:t>
      </w:r>
      <w:r w:rsidR="00000000" w:rsidRPr="00000000" w:rsidDel="00000000">
        <w:rPr>
          <w:rtl w:val="0"/>
        </w:rPr>
        <w:t xml:space="preserve">vienas starptautiskās konferences organizēšanai Latvijā."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70.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71.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72.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78.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 Gala labuma guvējs, kurš nav pievienotās vērtības nodokļa maksātājs, vai tam nav tiesības atgūt pievienotās vērtības nodokli atbilstoši normatīvajiem aktiem nodokļu politikas jomā, var attiecināt pievienotās vērtības nodokļa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26-TA-204</w:t>
    </w:r>
    <w:r>
      <w:br/>
    </w:r>
    <w:r w:rsidR="00000000" w:rsidRPr="00000000" w:rsidDel="00000000">
      <w:rPr>
        <w:rtl w:val="0"/>
      </w:rPr>
      <w:t xml:space="preserve">Izdrukāts 29.07.2026. 22.54 - 1.0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26-TA-204</w:t>
    </w:r>
    <w:r>
      <w:br/>
    </w:r>
    <w:r w:rsidR="00000000" w:rsidRPr="00000000" w:rsidDel="00000000">
      <w:rPr>
        <w:rtl w:val="0"/>
      </w:rPr>
      <w:t xml:space="preserve">Izdrukāts 29.07.2026. 22.54 - 1.0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noteikumu_(grozījumu)_projekts_26-TA-204.docx</dc:title>
</cp:coreProperties>
</file>

<file path=docProps/custom.xml><?xml version="1.0" encoding="utf-8"?>
<Properties xmlns="http://schemas.openxmlformats.org/officeDocument/2006/custom-properties" xmlns:vt="http://schemas.openxmlformats.org/officeDocument/2006/docPropsVTypes"/>
</file>