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52.</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25.02.2020. noteikumu Nr. 116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Atbilstības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vismaz piecus gadus ir reģistrēta biedrību un nodibinājumu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nacionālā līmenī pārstāv vismaz četras lauksaimniecības nozares jomas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apvieno vismaz 40 biedru, kas ir juridiskas personas, vai 100 biedru, kas ir fiziskas 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projektā ir iekļauti Ministru kabineta 2013. gada 17. decembra noteikumu Nr. 1524 "Noteikumi par valsts atbalstu lauksaimniecībai" 176.4. apakšpunktā minētie uzdevumi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389"/>
        <w:gridCol w:w="3868"/>
        <w:gridCol w:w="1568"/>
        <w:tblGridChange w:id="0">
          <w:tblGrid>
            <w:gridCol w:w="514"/>
            <w:gridCol w:w="3389"/>
            <w:gridCol w:w="38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Vērtējuma skaidrojums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darbības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deviņus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septiņus līdz astoņus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sešus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piecus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 lauksaimniecības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astoņās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septiņās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sešās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piecās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četrās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sabiedriskā aktivitāte pēdējos trijos gados (attiecībā uz Ministru kabineta 2013. gada 17. decembra noteikumu Nr. 1524 "Noteikumi par valsts atbalstu lauksaimniecībai" 176.4.1., 176.4.2., 176.4.3. un 176.4.4. apakšpunktā minētajiem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publicēta informācija plašsaziņas līdzekļos, apmeklēti kursi, semināri un konferences, rīkoti vismaz pieci semināri vai konferences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rīkots vismaz viens publicitātes vai informācijas izplatīšanas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informētas atsevišķas sabiedrības grupas, nosūtot informāciju pa pastu vai elektroniskā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sabiedriskie pasākumi nav notikuši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nav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ir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ieplānotie pašu līdzekļi projektā procentuāli no pieprasītā valsts atbalsta apmēra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20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15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pašu līdzekļi nav plānoti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iepriekšējā gadā sniegusi priekšlikumus un atzinumus par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vismaz 50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30 līdz 49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20 līdz 29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19 normatīvajiem aktiem un politikas plānošanas dokumentiem vai mazāk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ko nevalstiskā organizācija iekasējusi no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10 %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nav maksāta vai ir iekasēta mazāk nekā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22-TA-2836</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22-TA-2836</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noteikumu_konsolidētā_versija_p52_1_22-TA-2836.docx</dc:title>
</cp:coreProperties>
</file>

<file path=docProps/custom.xml><?xml version="1.0" encoding="utf-8"?>
<Properties xmlns="http://schemas.openxmlformats.org/officeDocument/2006/custom-properties" xmlns:vt="http://schemas.openxmlformats.org/officeDocument/2006/docPropsVTypes"/>
</file>