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53 157.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(turpmāk – programma)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pasākumu "Kvalitatīvas un mūsdienīgas izglītības īstenošana pirmsskolas, pamata un vidējās izglītības pakāpē"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finansējuma saņēmējam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STEM – normatīvajos aktos par pirmsskolas izglītības vadlīnijām, valsts pamatizglītības standartu un valsts vispārējās vidējās izglītības standartu (turpmāk – vispārējās izglītības standarti) definētās</w:t>
      </w:r>
      <w:r w:rsidR="00000000" w:rsidRPr="00000000" w:rsidDel="00000000">
        <w:rPr>
          <w:rtl w:val="0"/>
        </w:rPr>
        <w:t xml:space="preserve"> mācību jomas: </w:t>
      </w:r>
      <w:r w:rsidR="00000000" w:rsidRPr="00000000" w:rsidDel="00000000">
        <w:rPr>
          <w:rtl w:val="0"/>
        </w:rPr>
        <w:t xml:space="preserve">dabaszinātnes, matemātika</w:t>
      </w:r>
      <w:r w:rsidR="00000000" w:rsidRPr="00000000" w:rsidDel="00000000">
        <w:rPr>
          <w:rtl w:val="0"/>
        </w:rPr>
        <w:t xml:space="preserve">, </w:t>
      </w:r>
      <w:r w:rsidR="00000000" w:rsidRPr="00000000" w:rsidDel="00000000">
        <w:rPr>
          <w:rtl w:val="0"/>
        </w:rPr>
        <w:t xml:space="preserve">tehnoloģijas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pilsoniskā līdzdalība – vispārējās izglītības standartos definētā pilsoniskās līdzdalības caurviju prasme;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norise – papildus formālajai izglītībai organizēta izglītojoša praktiska nodarbība plašākai mācīšanās pieredzei, mācību satura tematu padziļinātai apguvei, intereses un izpratnes veicināšanai.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nodrošināt bērniem un jauniešiem iespēju apmeklēt norises STEM jomā un pilsoniskās līdzdalības jomā, kas sekmē mācību satura sasniedzamo rezultātu un mērķu sasniegšanu, lai mācību procesā dažādotu mācīšanās pieredzi, efektīvāk sasaistītu mācību teoriju ar praksi, veicinātu izpratni par minēto jomu darba tirgus prasībām, radītu interesi par šo jomu apgūšanu un sekmētu turpmāku mācīšanās izvēli minētajās jomās.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grupa ir izglītojamie obligātajā pirmsskolas izglītības vecumā izglītības iestādēs, kas īsteno pirmsskolas izglītības programmas, un izglītojamie vispārējās izglītības iestādēs un profesionālās izglītības iestādēs, kas īsteno klātienes pamatizglītības un vidējās izglītības programmas.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līdz 2029. gada 31. decembrim –  nacionāla, reģionāla vai vietēja mēroga valsts administrācijas vai sabiedrisko pakalpojumu iestāžu un pakalpojumu skaits, kas saņēmuši atbalstu, – 88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rezultāta rādītājs līdz 2029. gada 31. decembrim – iestādes, kas ieviesušas uzlabojumus izglītības un mācību sistēmu kvalitātei, efektivitātei un atbilstībai darba tirgum, – 88 iestādes.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Nacionālie rādītāji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izglītojamo īpatsvars, kas piedalījušies norisēs, – vismaz 85 % no izglītojamo skaita šo noteikumu </w:t>
      </w:r>
      <w:r w:rsidR="00000000" w:rsidRPr="00000000" w:rsidDel="00000000">
        <w:rPr>
          <w:rtl w:val="0"/>
        </w:rPr>
        <w:t xml:space="preserve">4.</w:t>
      </w:r>
      <w:r w:rsidR="00000000" w:rsidRPr="00000000" w:rsidDel="00000000">
        <w:rPr>
          <w:rtl w:val="0"/>
        </w:rPr>
        <w:t xml:space="preserve"> punktā minētajās izglītības iestādēs;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īpatsvars, kuru vidusskolas starpdisciplinārā kursa "Projekta darbs" izvēli ir ietekmējusi norišu apmeklēšanas pieredze, – vismaz 30 % no izglītojamo kopskaita vidusskolas posmā projektā iesaistītajās vispārējās vidējās izglītības iestādēs;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izglītojamo īpatsvars, kuru turpmāko mācīšanās izvēli pēc pamatizglītības un vidējās izglītības ieguves ir ietekmējusi norišu apmeklēšanas pieredze, – vismaz 50 % no izglītojamo kopskaita pamata un vidējās izglītības pakāpē projektā iesaistītajās vispārējās un profesionālās izglītības iestādēs.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pieejamais kopējais finansējums ir 34 009 600 </w:t>
      </w:r>
      <w:r w:rsidR="00000000" w:rsidRPr="00000000" w:rsidDel="00000000">
        <w:rPr>
          <w:i w:val="1"/>
          <w:rtl w:val="0"/>
        </w:rPr>
        <w:t xml:space="preserve">euro</w:t>
      </w:r>
      <w:r w:rsidR="00000000" w:rsidRPr="00000000" w:rsidDel="00000000">
        <w:rPr>
          <w:rtl w:val="0"/>
        </w:rPr>
        <w:t xml:space="preserve">, ko veido Eiropas Sociālā fonda Plus finansējums – 28 908 160  </w:t>
      </w:r>
      <w:r w:rsidR="00000000" w:rsidRPr="00000000" w:rsidDel="00000000">
        <w:rPr>
          <w:i w:val="1"/>
          <w:rtl w:val="0"/>
        </w:rPr>
        <w:t xml:space="preserve">euro</w:t>
      </w:r>
      <w:r w:rsidR="00000000" w:rsidRPr="00000000" w:rsidDel="00000000">
        <w:rPr>
          <w:rtl w:val="0"/>
        </w:rPr>
        <w:t xml:space="preserve"> un valsts budžeta līdzfinansējums – 5 101 440 </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Sociālā fonda Plus finansējuma intensitāte nav lielāka par 85 procentiem no projekta attiecināmo izmaksu kopsummas.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ir valsts pārvaldes iestāde, kas ir atbildīga par vispārējās izglītības satura īstenošanas pārraudzību un kas pēc projekta iesnieguma apstiprināšanas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apakšpunktā minētās atbalstāmās darbības īsteno sadarbībā ar pašvaldībām, kas ir pirmsskolas, vispārējās un profesionālās izglītības iestāžu dibinātājas, valsts dibinātām vispārējās un profesionālās izglītības iestādēm (tai skaitā koledžām), valsts augstskolu dibinātām akreditētām izglītības iestādēm un citu juridisku personu dibinātām akreditētām pirmsskolas, vispārējās un profesionālās izglītības iestādēm, kas īsteno Latvijā licencētas vispārējās izglītības programmas pirmsskolas, pamata un vidējās izglītības pakāpē un profesionālās izglītības programmas pamata un vidējās izglītības pakāpē.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minētajiem sadarbības partneriem pieejamais finansējuma apmērs šo noteikumu </w:t>
      </w:r>
      <w:r w:rsidR="00000000" w:rsidRPr="00000000" w:rsidDel="00000000">
        <w:rPr>
          <w:rtl w:val="0"/>
        </w:rPr>
        <w:t xml:space="preserve">17.3.</w:t>
      </w:r>
      <w:r w:rsidR="00000000" w:rsidRPr="00000000" w:rsidDel="00000000">
        <w:rPr>
          <w:rtl w:val="0"/>
        </w:rPr>
        <w:t xml:space="preserve"> apakšpunktā minētās atbalstāmās darbības īstenošanai tiek aprēķināts, pamatojoties uz Valsts izglītības informācijas sistēmas datiem par izglītojamo skaitu iepriekšējā mācību gada 1. oktobrī.</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Pēc projekta iesnieguma apstiprināšanas finansējuma saņēmējs ar katru sadarbības partneri slēdz sadarbības līgumu atbilstoši normatīvajiem aktiem par kārtību, kādā Eiropas Savienības fondu vadībā iesaistītās institūcijas nodrošina Eiropas Savienības fondu ieviešanu 2021.–2027.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projekta iesniegumā iekļauj informāciju par projekta iekšējo vadības un kontroles sistēmu, lai nodrošinātu sekmīgu projekta īstenošanu, mērķu sasniegšanu un projektam piešķirto līdzekļu lietderīgu un efektīvu izlietošanu, tai skaitā paredzot to funkciju nodalīšanu no iestādes pamatfunkciju izpildes, kuras finansējuma saņēmējs pilda projekta īstenošanā, un sadarbības regulējumu ar šo noteikumu </w:t>
      </w:r>
      <w:r w:rsidR="00000000" w:rsidRPr="00000000" w:rsidDel="00000000">
        <w:rPr>
          <w:rtl w:val="0"/>
        </w:rPr>
        <w:t xml:space="preserve">13.</w:t>
      </w:r>
      <w:r w:rsidR="00000000" w:rsidRPr="00000000" w:rsidDel="00000000">
        <w:rPr>
          <w:rtl w:val="0"/>
        </w:rPr>
        <w:t xml:space="preserve"> punktā minētajiem sadarbības partneriem, kā arī aprakstot, kādas darbības un uzraudzības instrumenti ir plānoti vai ieviesti projekta iesniedzēja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plānošana un kontrole, to uzskaites nodalīšana katra sadarbības partnera grāmatvedības uzskaitē un finanšu pārskatu ticamības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 un sadarbības partneru līdzdalība iepirkumu organizēšanā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sagatavošana un iesniegšana, tai skaitā datu pilnīguma un atbilstības pārbaude;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kvalitātes uzraudzības procesu pārskatāmība.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norišu kataloga izveide un uzturēšana;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norišu plānošana un koordinēšana pašvaldībās un izglītības iestādēs;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norišu apmeklēšana;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Pasākumā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izmaksas (izņemot virsstundas)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minēto sadarbības partneru projekta vadības un īstenošanas personāla izmaksas (izņemot virsstundas) šo noteikumu </w:t>
      </w:r>
      <w:r w:rsidR="00000000" w:rsidRPr="00000000" w:rsidDel="00000000">
        <w:rPr>
          <w:rtl w:val="0"/>
        </w:rPr>
        <w:t xml:space="preserve">17.2.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sadarbības partnerim šo noteikumu </w:t>
      </w:r>
      <w:r w:rsidR="00000000" w:rsidRPr="00000000" w:rsidDel="00000000">
        <w:rPr>
          <w:rtl w:val="0"/>
        </w:rPr>
        <w:t xml:space="preserve">17.3.</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norises ieejas maksa un izdevumi par biļetēm izglītojamiem un personām, kuras pavada grupu atbilstoši normatīvajiem aktiem, kas nosaka pavadošo personu skaitu (turpmāk – pavadošās personas);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maksa pakalpojuma sniedzējam par norises nodrošināšanu (tehniskās izmaksas, pakalpojuma sniedzēja personāla atlīdzība, tai skaitā autoratlīdzība, kas saistīta ar norises nodrošināšanu, pakalpojuma sniedzēja transporta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norises piekļuves (ieejas) maksa vai maksa par digitālās norises nodrošināšanu;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izdevumi (sabiedriskā transporta biļetes, izdevumi par degvielu un transporta nomu) izglītojamo un pavadošo personu nokļūšanai uz norises vietu un atpakaļ;</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un sadarbības partneru ar projekta darbībām tieši saistīto komunikācijas un vizuālās identitātes pasākumu izmaksas (plakātu vai elektronisku paziņojumu un elektronisko displeju izmaksas par saņemto Eiropas Sociālā fonda Plus atbalstu) šo noteikumu </w:t>
      </w:r>
      <w:r w:rsidR="00000000" w:rsidRPr="00000000" w:rsidDel="00000000">
        <w:rPr>
          <w:rtl w:val="0"/>
        </w:rPr>
        <w:t xml:space="preserve">17.5.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w:t>
      </w:r>
      <w:r w:rsidR="00000000" w:rsidRPr="00000000" w:rsidDel="00000000">
        <w:rPr>
          <w:rtl w:val="0"/>
        </w:rPr>
        <w:t xml:space="preserve"> apakšpunktā minētās netiešās attiecināmās izmaksas plāno kā vienu izmaksu pozīciju, piemērojot netiešo izmaksu vienoto likmi 7 % apmērā no šo noteikumu </w:t>
      </w:r>
      <w:r w:rsidR="00000000" w:rsidRPr="00000000" w:rsidDel="00000000">
        <w:rPr>
          <w:rtl w:val="0"/>
        </w:rPr>
        <w:t xml:space="preserve">19.</w:t>
      </w:r>
      <w:r w:rsidR="00000000" w:rsidRPr="00000000" w:rsidDel="00000000">
        <w:rPr>
          <w:rtl w:val="0"/>
        </w:rPr>
        <w:t xml:space="preserve"> punktā minētajām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apakšpunktā minētās tiešās attiecināmās personāla izmaksas plāno kā vienu izmaksu pozīciju, piemērojot vienoto likmi 15 % apmērā no pārējām tiešajām attiecināmajām izmaksām, kas nav tiešās attiecināmās personāla izmaksas,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apakšpunktā minētajām izmaksām piemēro atbildīgās iestādes izstrādātu un ar vadošo iestādi saskaņotu vienkāršoto izmaksu metodiku. Līdz vienkāršoto izmaksu metodikas apstiprināšanai izmaksas ir attiecināmas kā faktiskās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uzskatāmi par attiecināmajām izmaksām saskaņā regulas Nr. 2021/1060 64. panta 1. punkta "c" apakšpunktā ietvertajiem nosacījumiem, ja tie nav atgūstami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Attiecināmas ir izmaksas horizontālā principa "Vienlīdzība, iekļaušana, nediskriminācija un pamattiesību ievērošana" darbību īstenošanai, tai skaitā zīmju valodas tulku, vieglās valodas tulkošanas, reāllaika transkripcijas, subtitru nodrošināšanas pakalpojumu izmaksas un ekspertu konsultāciju izmaksas, ja tās ir nepieciešamas vides un informācijas piekļūstamības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Izmaksas finansējuma saņēmējam ir attiecināmas no šo noteikumu spēkā stāšanās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minētajiem sadarbības partneriem izmaksas ir attiecināmas no sadarbības līguma noslēgšanas dienas, bet ne agrāk kā no dienas, kad ar finansējuma saņēmēju noslēgta vienošanās par projekta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 minēto jomu norišu plānošanā un īstenošanā finansējuma saņēmējs var paredzēt starpdisciplināru pieeju, integrējot dažādas mācību jomas.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un sadarbības partneri norises plāno šādā proporcijā: 75 % STEM jomā un 25 % pilsoniskajā līdzdalībā.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plāno līdz četrām norisēm katram izglītojamam mācību gadā. Ja veidojas finansējuma pārpalikums, finansējuma saņēmējs var plānot vairāk par četrām norisēm katram izglītojamam mācību gadā, kā arī novirzīt finansējumu papildu izmaksu segšanai norišu apmeklējumam, ja tādas nepieciešamas, prioritāri sociālās atstumtības vai nabadzības riskam pakļautajām grupām.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Norišu iekļaušanai katalogā norises saturs un īstenošanas forma atbilst vispārējās izglītības standartos minētajiem sasniedzamajiem rezultātiem, izglītojamo vecuma un uztveres īpatnībām, prioritāri atbalstot norises, kuru īstenošanā tiek nodrošināts horizontālais princips "Vienlīdzība, iekļaušana, nediskriminācija un pamattiesību ievērošana", kur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prasības saskaņā ar regulas Nr. 2021/1060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informāciju par projekta īstenošanas gaitu savā tīmekļvietnē aktualizē, tiklīdz tā ir pieejama,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pasākuma ietvaros īsteno projektu, kas nav saistīts ar saimnieciskās darbības veikšanu vai nav kvalificējams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Publiskos iepirkumus finansējuma saņēmējs un sadarbības partneri (ja attiecināms) veic atklātā, pārredzamā, nediskriminējošā un konkurenci nodrošinošā procedūrā saskaņā ar normatīvajiem aktiem publisko iepirkumu jomā, izvērtējot iespējas iepirkumiem piemērot sociāli atbildīgu publisko iepirkumu un inovatīvu publisko iepirkumu.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un sadarbības partneri paraksta interešu konflikta neesības apliecinājumu un projekta īstenošanas laikā nodrošina interešu konflikta neesību saskaņā ar Eiropas Parlamenta un Padomes 2024. gada 23. septembra Regulas (ES, Euratom) 2024/2509 par finanšu noteikumiem, ko piemēro Savienības vispārējam budžetam (pārstrādāta redakcija), 61. panta prasībām un normatīvajiem aktiem publisko iepirkumu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un sadarbības partneris ievēro horizontālo principu "Vienlīdzība, iekļaušana, nediskriminācija un pamattiesību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uzkrāj datus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 minēto uzraudzības rādītāju izpildi un  </w:t>
      </w:r>
      <w:r w:rsidR="00000000" w:rsidRPr="00000000" w:rsidDel="00000000">
        <w:rPr>
          <w:rtl w:val="0"/>
        </w:rPr>
        <w:t xml:space="preserve">6.</w:t>
      </w:r>
      <w:r w:rsidR="00000000" w:rsidRPr="00000000" w:rsidDel="00000000">
        <w:rPr>
          <w:rtl w:val="0"/>
        </w:rPr>
        <w:t xml:space="preserve"> punktā minēto nacionālo rādītāju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rādītāju: konsultatīva rakstura pasākumu skaits par dzimumu līdztiesības, personu ar invaliditāti vienlīdzīgu iespēju, vecuma nediskriminācijas, etniskās un citas piederības un pamattiesību jautājumiem, tostarp par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norišu proporciju STEM jomā un pilsoniskajā līdzdalībā.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un sadarbības partneri projekta īstenošanā nodrošina nepārklāšanās principu ar citiem valsts un ārvalstu finanšu atbalsta instrumentiem un dubultā finansējuma neiestāšanos.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Projektu īsteno saskaņā ar vienošanos par projekta īstenošanu, bet ne ilgāk kā līdz 2028.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23-TA-1285</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23-TA-1285</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noteikumu_projekts_23-TA-1285.docx</dc:title>
</cp:coreProperties>
</file>

<file path=docProps/custom.xml><?xml version="1.0" encoding="utf-8"?>
<Properties xmlns="http://schemas.openxmlformats.org/officeDocument/2006/custom-properties" xmlns:vt="http://schemas.openxmlformats.org/officeDocument/2006/docPropsVTypes"/>
</file>