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Augstskolu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1996, 1. nr.; 1997, 3. nr.; 2001, 1. nr.; 2004, 13. nr.; 2006, 8. nr.; 2007, 6., 11. nr.; 2008, 15. nr.; 2009, 2., 14. nr.; Latvijas Vēstnesis, 2009, 194. nr.; 2010, 38., 206. nr.; 2011, 117., 202. nr.; 2012, 190. nr.; 2013, 40., 92., 188. nr.; 2014, 214., 257. nr.; 2016, 108., 125., 241. nr.; 2017, 90., 236. nr.; 2018, 36., 132., 216. nr.; 2019, 240. nr.; 2020, 80.B, 208., 223. nr.; 2021, 79.A, 110., 118., 121.B, 221.A nr.; 2022, 69., 111.A, 144., 187. nr.; 2023, 30.A, 123., 241., 247. nr.; 2024, 62., 120.A, 217. nr.; 2025, 67.A, 244., 247. nr.; 2026, 2., 56.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8.</w:t>
      </w:r>
      <w:r w:rsidR="00000000" w:rsidRPr="00000000" w:rsidDel="00000000">
        <w:rPr>
          <w:vertAlign w:val="superscript"/>
          <w:rtl w:val="0"/>
        </w:rPr>
        <w:t xml:space="preserve">6</w:t>
      </w:r>
      <w:r w:rsidR="00000000" w:rsidRPr="00000000" w:rsidDel="00000000">
        <w:rPr>
          <w:rtl w:val="0"/>
        </w:rPr>
        <w:t xml:space="preserve"> panta pirmo daļu ar 8. un 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ar izglītības un zinātnes ministra rīkojumu tiek atcelta vai anulēta augstskolas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pamatojoties uz Studiju kvalitātes komisijas lēmumu, neatbilst nevienam no noteiktajiem augstskolu tipiem.".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ne vēlāk kā 20 dienu laikā izslēdz no studējoša saraksta, ja tā 5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uzglabā prombūtni </w:t>
      </w:r>
      <w:r w:rsidR="00000000" w:rsidRPr="00000000" w:rsidDel="00000000">
        <w:rPr>
          <w:rtl w:val="0"/>
        </w:rPr>
        <w:t xml:space="preserve">attaisnojošos dokumentus līdz personas izslēgšanai no studējošā saraksta.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55.</w:t>
      </w:r>
      <w:r w:rsidR="00000000" w:rsidRPr="00000000" w:rsidDel="00000000">
        <w:rPr>
          <w:vertAlign w:val="superscript"/>
          <w:rtl w:val="0"/>
        </w:rPr>
        <w:t xml:space="preserve">2</w:t>
      </w:r>
      <w:r w:rsidR="00000000" w:rsidRPr="00000000" w:rsidDel="00000000">
        <w:rPr>
          <w:rtl w:val="0"/>
        </w:rPr>
        <w:t xml:space="preserve"> panta astoto daļu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un zinātnes ministrs ir izdevis rīkojumu par augstskolas akreditācijas atcelšanu vai anulēšanu."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daļu ar 6.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ministrs ir izdevis rīkojumu par augstskolas akreditācijas atcelšanu vai anulēšanu."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Ārzemniekiem, kuri nav minēti šā likuma 45.panta otrajā daļā, augstskolas veic lekciju un nodarbību apmeklējumu reģistrāciju un šīs informācijas glabāšanu līdz ārzemnieka izslēgšanai no studējošo saraksta (eksmatrikulācijai)."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147. un 148.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daļas 6. punktā stājas spēkā 2028.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26-TA-1499</w:t>
    </w:r>
    <w:r>
      <w:br/>
    </w:r>
    <w:r w:rsidR="00000000" w:rsidRPr="00000000" w:rsidDel="00000000">
      <w:rPr>
        <w:rtl w:val="0"/>
      </w:rPr>
      <w:t xml:space="preserve">Izdrukāts 07.09.2026. 15.53 - 2.0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26-TA-1499</w:t>
    </w:r>
    <w:r>
      <w:br/>
    </w:r>
    <w:r w:rsidR="00000000" w:rsidRPr="00000000" w:rsidDel="00000000">
      <w:rPr>
        <w:rtl w:val="0"/>
      </w:rPr>
      <w:t xml:space="preserve">Izdrukāts 07.09.2026. 15.53 - 2.0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likumprojekts_(grozījumi)_26-TA-1499.docx</dc:title>
</cp:coreProperties>
</file>

<file path=docProps/custom.xml><?xml version="1.0" encoding="utf-8"?>
<Properties xmlns="http://schemas.openxmlformats.org/officeDocument/2006/custom-properties" xmlns:vt="http://schemas.openxmlformats.org/officeDocument/2006/docPropsVTypes"/>
</file>