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Attīstības finanšu institūcijas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Attīstības finanšu institūcijas likumā (Latvijas Vēstnesis, 2014, 228.nr.)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4. pantu ar piekto un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institūcija savas darbības nodrošināšanai un atbalsta un attīstības programmu ieviešanai izstrādā un piemēro savas darbības riskam atbilstošas politikas un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institūcijas un klienta strīdi par atteikumu sadarboties ar klientu, ņemot vērā tam piemītošo risku līmeni, kas noteikts ievērojot Finanšu institūcijas risku pārvaldības, interešu konflikta novēršanas, korupcijas apkarošanas un citas Finanšu institūcijas apstiprinātās politikas un procedūras, risināmi Civilprocesa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25-TA-1887</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25-TA-1887</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likumprojekts_(grozījumi)_25-TA-1887.docx</dc:title>
</cp:coreProperties>
</file>

<file path=docProps/custom.xml><?xml version="1.0" encoding="utf-8"?>
<Properties xmlns="http://schemas.openxmlformats.org/officeDocument/2006/custom-properties" xmlns:vt="http://schemas.openxmlformats.org/officeDocument/2006/docPropsVTypes"/>
</file>