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20. janvārī (prot. Nr. 2 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2013. gada 19. novembra noteikumos Nr. 1317 "Noteikumi par speciālo līdzekļu veidiem un kārtību, kādā karavīri un zemessargi glabā, nēsā un lieto speciālos līdzekļus"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Militārā dienesta likuma</w:t>
      </w:r>
      <w:r w:rsidR="00000000" w:rsidRPr="00000000" w:rsidDel="00000000">
        <w:rPr>
          <w:rStyle w:val="paragraph"/>
          <w:i w:val="1"/>
          <w:rtl w:val="0"/>
        </w:rPr>
        <w:t xml:space="preserve"> 14.panta ceturto daļu</w:t>
      </w:r>
      <w:r>
        <w:br/>
      </w:r>
      <w:r w:rsidR="00000000" w:rsidRPr="00000000" w:rsidDel="00000000">
        <w:rPr>
          <w:rStyle w:val="paragraph"/>
          <w:i w:val="1"/>
          <w:rtl w:val="0"/>
        </w:rPr>
        <w:t xml:space="preserve">un </w:t>
      </w:r>
      <w:r w:rsidR="00000000" w:rsidRPr="00000000" w:rsidDel="00000000">
        <w:rPr>
          <w:rStyle w:val="paragraph"/>
          <w:i w:val="1"/>
          <w:rtl w:val="0"/>
        </w:rPr>
        <w:t xml:space="preserve">Latvijas Republikas Zemessardzes likuma</w:t>
      </w:r>
      <w:r w:rsidR="00000000" w:rsidRPr="00000000" w:rsidDel="00000000">
        <w:rPr>
          <w:rStyle w:val="paragraph"/>
          <w:i w:val="1"/>
          <w:rtl w:val="0"/>
        </w:rPr>
        <w:t xml:space="preserve"> 22. panta 1.</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2013. gada 19. novembra noteikumos Nr. 1317 "Noteikumi par speciālo līdzekļu veidiem un kārtību, kādā karavīri un zemessargi glabā, nēsā un lieto speciālos līdzekļus" (Latvijas Vēstnesis, 2013, 228. nr.; 2014, 169. nr.; 2016, 149.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"2.25. ierīces, kas paredzētas tālvadības vai autonomas vadības ierīču notveršanai, nosēdināšanai vai iznīcināšanai."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Lēmumu par šo noteikumu 2.3., 2.7., 2.8., 2.9., 2.10., 2.11., 2.12., 2.13., 2.14., 2.15., 2.16., 2.17., 2.18., 2.19., 2.20., 2.21., 2.22., 2.23., 2.24. un 2.25. apakšpunktā minēto speciālo līdzekļu lietošanu konkrēta uzdevuma izpildei pieņem Nacionālo bruņoto spēku komandieris vai viņa pilnvarota amatpersona, izdodot pavēli."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40.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Ierīces, kas paredzētas tālvadības vai autonomas vadības ierīču notveršanai, nosēdināšanai vai iznīcināšanai, lieto, pirms tam pārliecinoties, ka tālvadības vai autonomas vadības ierīce pēc tās lidojuma vai kustības pārtraukšanas neradīs kaitējumu cilvēkam, dzīvniekam vai trešo personu īpašumam."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25-TA-2416</w:t>
    </w:r>
    <w:r>
      <w:br/>
    </w:r>
    <w:r w:rsidR="00000000" w:rsidRPr="00000000" w:rsidDel="00000000">
      <w:rPr>
        <w:rtl w:val="0"/>
      </w:rPr>
      <w:t xml:space="preserve">Izdrukāts 29.07.2026. 22.44 - 1.0.VK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25-TA-2416</w:t>
    </w:r>
    <w:r>
      <w:br/>
    </w:r>
    <w:r w:rsidR="00000000" w:rsidRPr="00000000" w:rsidDel="00000000">
      <w:rPr>
        <w:rtl w:val="0"/>
      </w:rPr>
      <w:t xml:space="preserve">Izdrukāts 29.07.2026. 22.44 - 1.0.VK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noteikumu_(grozījumu)_projekts_25-TA-2416.docx</dc:title>
</cp:coreProperties>
</file>

<file path=docProps/custom.xml><?xml version="1.0" encoding="utf-8"?>
<Properties xmlns="http://schemas.openxmlformats.org/officeDocument/2006/custom-properties" xmlns:vt="http://schemas.openxmlformats.org/officeDocument/2006/docPropsVTypes"/>
</file>