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31. martā (prot. Nr. 17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 Izdoti saskaņā ar Enerģētikas likuma 73. un 75.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īpašumā esošās drošības rezerves un naftas produktus, par kuriem komersanti sniedz drošības rezervju pakalpojumu drošības rezervju izveidei (turpmāk abi kopā – drošības rezerves), un aviācijas nozares uzturētas drošības rezerves izsludinātas enerģētiskās krīzes laikā pārdod pēc valsts vai pašvaldības enerģētiskās krīzes centra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Enerģētiskās krīzes gadījumā lēmumu par drošības rezervju pārdošanu un aviācijas nozares uzturētu drošības rezervju izmantošanu pieņem Ministru kabinets pēc Klimata un enerģētikas ministrijas priekšlikuma, pamatojoties uz Valsts enerģētiskās krīzes centra vai pašvaldības enerģētiskās krīzes centra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Starptautiskās Enerģētikas aģentūras aktivizētu ārkārtas reaģēšanas pasākumu gadījumā lēmumu par drošības rezervju pārdošanu un aviācijas nozares uzturētu drošības rezervju izmantošanu pieņem Ministru kabinets pēc Ekonomikas ministrijas priekšlikuma, kas saskaņots ar Klimata un enerģētikas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Eiropas Komisijas atļauju drošības rezervju un aviācijas nozares uzturētu drošības rezervju izmantošanai, Ekonomikas ministrija iesniedz Eiropas Komisijai lūgumu sasaukt Naftas un naftas produktu koordinācijas grupas konsultāciju sanāksmi. Ja drošības rezerves un aviācijas nozares uzturētas drošības rezerves ir nepieciešams izmantot īpaši steidzami, pirms saņemta Eiropas Komisijas atļauja, Ekonomikas ministrija nekavējoties informē Eiropas Komisiju par Ministru kabineta pieņemto lēmumu par drošības rezervju pārdošanu un aviācijas nozares uzturētu drošības rezervju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izvērtētu nepieciešamību drošības rezervju pārdošanai un aviācijas nozares uzturētu drošības rezervju izmantošanai, komersantiem, kuri saskaņā ar </w:t>
      </w:r>
      <w:r w:rsidR="00000000" w:rsidRPr="00000000" w:rsidDel="00000000">
        <w:rPr>
          <w:rtl w:val="0"/>
        </w:rPr>
        <w:t xml:space="preserve">Enerģētikas likuma 72.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un otro daļu maksā pakalpojuma maksu par drošības rezervju izveidi un uzturēšanu (turpmāk – komersanti), un aviācijas nozares komersantiem pēc sabiedrības ar ierobežotu atbildību "Publisko aktīvu pārvaldītājs Possessor" (turpmāk – </w:t>
      </w:r>
      <w:r w:rsidR="00000000" w:rsidRPr="00000000" w:rsidDel="00000000">
        <w:rPr>
          <w:i w:val="1"/>
          <w:rtl w:val="0"/>
        </w:rPr>
        <w:t xml:space="preserve">Possessor</w:t>
      </w:r>
      <w:r w:rsidR="00000000" w:rsidRPr="00000000" w:rsidDel="00000000">
        <w:rPr>
          <w:rtl w:val="0"/>
        </w:rPr>
        <w:t xml:space="preserve">) pieprasījuma ir pienākums sniegt informāciju </w:t>
      </w:r>
      <w:r w:rsidR="00000000" w:rsidRPr="00000000" w:rsidDel="00000000">
        <w:rPr>
          <w:i w:val="1"/>
          <w:rtl w:val="0"/>
        </w:rPr>
        <w:t xml:space="preserve">Possessor </w:t>
      </w:r>
      <w:r w:rsidR="00000000" w:rsidRPr="00000000" w:rsidDel="00000000">
        <w:rPr>
          <w:rtl w:val="0"/>
        </w:rPr>
        <w:t xml:space="preserve">noteiktajā apjomā un termiņā par to rīcībā esošajiem naftas produktiem un piegādēm.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Drošības rezerves komersantiem pārdod tādā veidā, kādā tās ir veidotas un uzglabātas.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i w:val="1"/>
          <w:rtl w:val="0"/>
        </w:rPr>
        <w:t xml:space="preserve">Possessor </w:t>
      </w:r>
      <w:r w:rsidR="00000000" w:rsidRPr="00000000" w:rsidDel="00000000">
        <w:rPr>
          <w:rtl w:val="0"/>
        </w:rPr>
        <w:t xml:space="preserve">un aviācijas nozares komersanti var savstarpēji vienoties par aviācijas nozares uzturētu drošības rezervju atpirkšanu to izmantošanai izsludinātas enerģētiskās krīzes laikā vai Starptautiskās Enerģētikas aģentūras aktivizētu koordinētu ārkārtas reaģēšanas pasākumu gadījumā. Ja </w:t>
      </w:r>
      <w:r w:rsidR="00000000" w:rsidRPr="00000000" w:rsidDel="00000000">
        <w:rPr>
          <w:i w:val="1"/>
          <w:rtl w:val="0"/>
        </w:rPr>
        <w:t xml:space="preserve">Possessor </w:t>
      </w:r>
      <w:r w:rsidR="00000000" w:rsidRPr="00000000" w:rsidDel="00000000">
        <w:rPr>
          <w:rtl w:val="0"/>
        </w:rPr>
        <w:t xml:space="preserve">un aviācijas nozares komersanti vienojas par drošības rezervju atpirkšanu: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aviācijas nozares komersantiem ir pienākums pirms pārdošanas apliecināt to uzturēto drošības rezervju kvalitāti un izcelsmi;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piemērota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atpirkšanas cenas noteikšanas kārtība.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Izsludinātas enerģētiskās krīzes laikā aviācijas nozares komersanti izmanto pašu uzturētas drošības rezerves. </w:t>
      </w:r>
      <w:r w:rsidR="00000000" w:rsidRPr="00000000" w:rsidDel="00000000">
        <w:rPr>
          <w:i w:val="1"/>
          <w:rtl w:val="0"/>
        </w:rPr>
        <w:t xml:space="preserve">Possessor </w:t>
      </w:r>
      <w:r w:rsidR="00000000" w:rsidRPr="00000000" w:rsidDel="00000000">
        <w:rPr>
          <w:rtl w:val="0"/>
        </w:rPr>
        <w:t xml:space="preserve">un aviācijas nozares komersanti var savstarpēji vienoties par drošības rezervju pārdošanu aviācijas nozares komersantiem, ja tās pilnā apjomā nav pārdotas komersantiem.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Drošības rezervju pārdošanas cenu </w:t>
      </w:r>
      <w:r w:rsidR="00000000" w:rsidRPr="00000000" w:rsidDel="00000000">
        <w:rPr>
          <w:i w:val="1"/>
          <w:rtl w:val="0"/>
        </w:rPr>
        <w:t xml:space="preserve">Possessor </w:t>
      </w:r>
      <w:r w:rsidR="00000000" w:rsidRPr="00000000" w:rsidDel="00000000">
        <w:rPr>
          <w:rtl w:val="0"/>
        </w:rPr>
        <w:t xml:space="preserve">nosaka, piemērojot: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Platts European Marketscan</w:t>
      </w:r>
      <w:r w:rsidR="00000000" w:rsidRPr="00000000" w:rsidDel="00000000">
        <w:rPr>
          <w:rtl w:val="0"/>
        </w:rPr>
        <w:t xml:space="preserve"> publicēto attiecīgā naftas produkta veida vidējo naftas produktu kotācijas vērtību par pēdējām septiņām kalendāra dienām pirms dienas, kad tiek uzsākta naftas produktu piegāde komersantam: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dīzeļdegvielai – </w:t>
      </w:r>
      <w:r w:rsidR="00000000" w:rsidRPr="00000000" w:rsidDel="00000000">
        <w:rPr>
          <w:i w:val="1"/>
          <w:rtl w:val="0"/>
        </w:rPr>
        <w:t xml:space="preserve">Platts ULSD </w:t>
      </w:r>
      <w:r w:rsidR="00000000" w:rsidRPr="00000000" w:rsidDel="00000000">
        <w:rPr>
          <w:rtl w:val="0"/>
        </w:rPr>
        <w:t xml:space="preserve">10 ppm, </w:t>
      </w:r>
      <w:r w:rsidR="00000000" w:rsidRPr="00000000" w:rsidDel="00000000">
        <w:rPr>
          <w:i w:val="1"/>
          <w:rtl w:val="0"/>
        </w:rPr>
        <w:t xml:space="preserve">Cargoes CIF NWE/Basis ARA </w:t>
      </w:r>
      <w:r w:rsidR="00000000" w:rsidRPr="00000000" w:rsidDel="00000000">
        <w:rPr>
          <w:rtl w:val="0"/>
        </w:rPr>
        <w:t xml:space="preserve"> kotācija (</w:t>
      </w:r>
      <w:r w:rsidR="00000000" w:rsidRPr="00000000" w:rsidDel="00000000">
        <w:rPr>
          <w:i w:val="1"/>
          <w:rtl w:val="0"/>
        </w:rPr>
        <w:t xml:space="preserve">Platts</w:t>
      </w:r>
      <w:r w:rsidR="00000000" w:rsidRPr="00000000" w:rsidDel="00000000">
        <w:rPr>
          <w:rtl w:val="0"/>
        </w:rPr>
        <w:t xml:space="preserve"> kods: AAVBG00);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reaktīvajai degvielai – </w:t>
      </w:r>
      <w:r w:rsidR="00000000" w:rsidRPr="00000000" w:rsidDel="00000000">
        <w:rPr>
          <w:i w:val="1"/>
          <w:rtl w:val="0"/>
        </w:rPr>
        <w:t xml:space="preserve">Platts Jet</w:t>
      </w:r>
      <w:r w:rsidR="00000000" w:rsidRPr="00000000" w:rsidDel="00000000">
        <w:rPr>
          <w:rtl w:val="0"/>
        </w:rPr>
        <w:t xml:space="preserve">, </w:t>
      </w:r>
      <w:r w:rsidR="00000000" w:rsidRPr="00000000" w:rsidDel="00000000">
        <w:rPr>
          <w:i w:val="1"/>
          <w:rtl w:val="0"/>
        </w:rPr>
        <w:t xml:space="preserve">Cargoes CIF NWE/Basis ARA</w:t>
      </w:r>
      <w:r w:rsidR="00000000" w:rsidRPr="00000000" w:rsidDel="00000000">
        <w:rPr>
          <w:rtl w:val="0"/>
        </w:rPr>
        <w:t xml:space="preserve"> kotācija (</w:t>
      </w:r>
      <w:r w:rsidR="00000000" w:rsidRPr="00000000" w:rsidDel="00000000">
        <w:rPr>
          <w:i w:val="1"/>
          <w:rtl w:val="0"/>
        </w:rPr>
        <w:t xml:space="preserve">Platts </w:t>
      </w:r>
      <w:r w:rsidR="00000000" w:rsidRPr="00000000" w:rsidDel="00000000">
        <w:rPr>
          <w:rtl w:val="0"/>
        </w:rPr>
        <w:t xml:space="preserve">kods: PJAAU00);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benzīnam – </w:t>
      </w:r>
      <w:r w:rsidR="00000000" w:rsidRPr="00000000" w:rsidDel="00000000">
        <w:rPr>
          <w:i w:val="1"/>
          <w:rtl w:val="0"/>
        </w:rPr>
        <w:t xml:space="preserve">Platts Gasoline</w:t>
      </w:r>
      <w:r w:rsidR="00000000" w:rsidRPr="00000000" w:rsidDel="00000000">
        <w:rPr>
          <w:rtl w:val="0"/>
        </w:rPr>
        <w:t xml:space="preserve"> 10 ppm, </w:t>
      </w:r>
      <w:r w:rsidR="00000000" w:rsidRPr="00000000" w:rsidDel="00000000">
        <w:rPr>
          <w:i w:val="1"/>
          <w:rtl w:val="0"/>
        </w:rPr>
        <w:t xml:space="preserve">Cargoes CIF NWE/Basis ARA</w:t>
      </w:r>
      <w:r w:rsidR="00000000" w:rsidRPr="00000000" w:rsidDel="00000000">
        <w:rPr>
          <w:rtl w:val="0"/>
        </w:rPr>
        <w:t xml:space="preserve"> kotācija (</w:t>
      </w:r>
      <w:r w:rsidR="00000000" w:rsidRPr="00000000" w:rsidDel="00000000">
        <w:rPr>
          <w:i w:val="1"/>
          <w:rtl w:val="0"/>
        </w:rPr>
        <w:t xml:space="preserve">Platts </w:t>
      </w:r>
      <w:r w:rsidR="00000000" w:rsidRPr="00000000" w:rsidDel="00000000">
        <w:rPr>
          <w:rtl w:val="0"/>
        </w:rPr>
        <w:t xml:space="preserve">kods: AAXFQ00);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prēmiju, ko izsaka par vienu tonnu naftas produktu. Dīzeļdegvielai tiek piemērota blīvuma eskalācija vai deskalācija pie 0,845 kilogramiem litrā 15 °C temperatūrā. Benzīnam tiek piemērota blīvuma eskalācija vai deskalācija pie 0,755 kilogramiem litrā 15 °C temperatūrā. Reaktīvajai degvielai tiek piemērota  blīvuma eskalācija vai deskalācija pie 0,800 kilogramiem litrā 15 °C temperatūrā.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i w:val="1"/>
          <w:rtl w:val="0"/>
        </w:rPr>
        <w:t xml:space="preserve">Possessor </w:t>
      </w:r>
      <w:r w:rsidR="00000000" w:rsidRPr="00000000" w:rsidDel="00000000">
        <w:rPr>
          <w:rtl w:val="0"/>
        </w:rPr>
        <w:t xml:space="preserve">pārdod drošības rezerves komersantiem proporcionāli katra komersanta vidējam Latvijas Republikā realizētajam vai savam patēriņam no Eiropas Savienības dalībvalsts ievestajam, vai no trešajām valstīm importētajam attiecīgā naftas produkta apjomam, izņemot aviācijas degvielu. Vidējo apjomu attiecīgajam naftas produktam nosaka, ņemot vērā komersanta pēdējo 12 mēnešu periodā kopā Latvijas Republikā realizēto vai savam patēriņam no Eiropas Savienības dalībvalsts ievesto, vai no trešajām valstīm importēto attiecīgā naftas produkta apjomu, izņemot aviācijas degvielu. 12 mēnešu periodu aprēķina, nosakot, ka divpadsmitais mēnesis  ir  priekšpēdējais mēnesis pirms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Ministru kabineta lēmuma pieņemšanas.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Komersants ir tiesīgs atteikties no drošības rezervju iegādes vai samazināt tam piekritīgo drošības rezervju apjomu.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i w:val="1"/>
          <w:rtl w:val="0"/>
        </w:rPr>
        <w:t xml:space="preserve">Possessor </w:t>
      </w:r>
      <w:r w:rsidR="00000000" w:rsidRPr="00000000" w:rsidDel="00000000">
        <w:rPr>
          <w:rtl w:val="0"/>
        </w:rPr>
        <w:t xml:space="preserve">nogādā uz Latviju drošības rezerves, kuras atrodas ārvalstīs, savukārt komersants tā iegādātās drošības rezerves transportē no drošības rezervju uzglabāšanas vietas Latvijā.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Drošības rezervju pārdošanai izmanto atpirkšanas zīmi. Atpirkšanas zīme ir  aizpildīts un </w:t>
      </w:r>
      <w:r w:rsidR="00000000" w:rsidRPr="00000000" w:rsidDel="00000000">
        <w:rPr>
          <w:i w:val="1"/>
          <w:rtl w:val="0"/>
        </w:rPr>
        <w:t xml:space="preserve">Possessor </w:t>
      </w:r>
      <w:r w:rsidR="00000000" w:rsidRPr="00000000" w:rsidDel="00000000">
        <w:rPr>
          <w:rtl w:val="0"/>
        </w:rPr>
        <w:t xml:space="preserve">un komersanta parakstīts dokuments, kas apliecina drošības rezervju pārdošanu atpirkšanas zīmē norādītajam komersantam. Atpirkšanas zīmē norāda naftas produkta veidu, naftas produkta daudzumu (tonnās), atpirkšanas cenu par vienu tonnu, kopējo atpirkšanas cenu un citu nepieciešamo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drošības rezervju pieņemšanu un nodošanu naftas produktu glabātājs un naftas produktu pārvadātājs paraksta pieņemšanas un nodošanas aktu. Vienas dienas laikā pēc akta abpusējas parakstīšanas naftas produktu glabātājs pieņemšanas un nodošanas aktu nosūta </w:t>
      </w:r>
      <w:r w:rsidR="00000000" w:rsidRPr="00000000" w:rsidDel="00000000">
        <w:rPr>
          <w:i w:val="1"/>
          <w:rtl w:val="0"/>
        </w:rPr>
        <w:t xml:space="preserve">Possessor</w:t>
      </w:r>
      <w:r w:rsidR="00000000" w:rsidRPr="00000000" w:rsidDel="00000000">
        <w:rPr>
          <w:rtl w:val="0"/>
        </w:rPr>
        <w:t xml:space="preserve">. Pieņemšanas un nodošanas aktā norāda informāciju par atpirkšanas zīmi un degvielas komersantam nodoto naftas produktu veidu un katra veida apjomu (tonnās).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Atpirkšanas zīmi un pieņemšanas un nodošanas aktu paraksta ar drošu elektronisko parakstu, kas satur laika zīmogu. Ja tas nav iespējams, atpirkšanas zīmi un pieņemšanas un nodošanas aktu paraksta papīra formā. Atpirkšanas zīmi papīra formā paraksta trīs eksemplāros, no kuriem viens eksemplārs glabājas pie </w:t>
      </w:r>
      <w:r w:rsidR="00000000" w:rsidRPr="00000000" w:rsidDel="00000000">
        <w:rPr>
          <w:i w:val="1"/>
          <w:rtl w:val="0"/>
        </w:rPr>
        <w:t xml:space="preserve">Possessor </w:t>
      </w:r>
      <w:r w:rsidR="00000000" w:rsidRPr="00000000" w:rsidDel="00000000">
        <w:rPr>
          <w:rtl w:val="0"/>
        </w:rPr>
        <w:t xml:space="preserve">un pa vienam eksemplāram pie komersanta un pie naftas produktu glabātāja. Pieņemšanas un nodošanas aktu papīra formā paraksta četros eksemplāros, no kuriem viens eksemplārs glabājas pie </w:t>
      </w:r>
      <w:r w:rsidR="00000000" w:rsidRPr="00000000" w:rsidDel="00000000">
        <w:rPr>
          <w:i w:val="1"/>
          <w:rtl w:val="0"/>
        </w:rPr>
        <w:t xml:space="preserve">Possessor </w:t>
      </w:r>
      <w:r w:rsidR="00000000" w:rsidRPr="00000000" w:rsidDel="00000000">
        <w:rPr>
          <w:rtl w:val="0"/>
        </w:rPr>
        <w:t xml:space="preserve">un pa vienam eksemplāram  pie komersanta, pie naftas produktu glabātāja un pie naftas produktu pārvadātāja.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komersantam pārdotajām valsts īpašumā esošajām drošības rezervēm komersants veic samaksu atpirkšanas zīmē norādītās naftas produktu cenas apmērā, pamatojoties uz </w:t>
      </w:r>
      <w:r w:rsidR="00000000" w:rsidRPr="00000000" w:rsidDel="00000000">
        <w:rPr>
          <w:i w:val="1"/>
          <w:rtl w:val="0"/>
        </w:rPr>
        <w:t xml:space="preserve">Possessor </w:t>
      </w:r>
      <w:r w:rsidR="00000000" w:rsidRPr="00000000" w:rsidDel="00000000">
        <w:rPr>
          <w:rtl w:val="0"/>
        </w:rPr>
        <w:t xml:space="preserve">izsniegtu attaisnojuma dokumentu atbilstoši grāmatvedību regulējošiem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Enerģētikas likuma</w:t>
      </w:r>
      <w:r w:rsidR="00000000" w:rsidRPr="00000000" w:rsidDel="00000000">
        <w:rPr>
          <w:rtl w:val="0"/>
        </w:rPr>
        <w:t xml:space="preserve"> pārejas noteikumu 80. punktā minētajā pārejas periodā par komersantam pārdodamajām drošības rezervēm, par kurām komersanti sniedz drošības rezervju pakalpojumu drošības rezervju izveidei, samaksu veic atbilstoši līgumiem par drošības rezervju pakalpojuma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Eiropas Komisijas norādījumu saņemšanas lēmumu par drošības rezervju un aviācijas nozares uzturētu drošības rezervju atjaunošanu Eiropas Komisijas noteiktā termiņā pieņem Ministru kabinets, pamatojoties uz Ekonomikas ministrijas priekšlikumu, kas saskaņots ar Klimata un enerģētikas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Starptautiskās Enerģētikas aģentūras ārkārtas reaģēšanas pasākumu aktivizēšanas gadījumā ir nepieciešams organizēt naftas produktu patēriņa ierobežošanu, klimata un enerģētikas ministrs sasauc Valsts enerģētiskās krīzes centra sēdi, lai sagatavotu priekšlikumus Ministru kabinetam par naftas produktu patēriņa ierobežošanu saskaņā ar 1974. gada 18. novembra Nolīgumu par Starptautisko enerģētikas programmu.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 </w:t>
      </w:r>
      <w:r w:rsidR="00000000" w:rsidRPr="00000000" w:rsidDel="00000000">
        <w:rPr>
          <w:rtl w:val="0"/>
        </w:rPr>
        <w:t xml:space="preserve">punkts</w:t>
      </w:r>
      <w:r w:rsidR="00000000" w:rsidRPr="00000000" w:rsidDel="00000000">
        <w:rPr>
          <w:rtl w:val="0"/>
        </w:rPr>
        <w:t xml:space="preserve"> ir spēkā līdz 2028.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Padomes 2009. gada 14. septembra Direktīvas </w:t>
      </w:r>
      <w:r w:rsidR="00000000" w:rsidRPr="00000000" w:rsidDel="00000000">
        <w:rPr>
          <w:rtl w:val="0"/>
        </w:rPr>
        <w:t xml:space="preserve">2009/119/EK</w:t>
      </w:r>
      <w:r w:rsidR="00000000" w:rsidRPr="00000000" w:rsidDel="00000000">
        <w:rPr>
          <w:rtl w:val="0"/>
        </w:rPr>
        <w:t xml:space="preserve">, ar ko dalībvalstīm uzliek pienākumu uzturēt jēlnaftas un/vai naftas produktu obligātas rezerves.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25-TA-2070</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25-TA-2070</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noteikumu_projekts_25-TA-2070.docx</dc:title>
</cp:coreProperties>
</file>

<file path=docProps/custom.xml><?xml version="1.0" encoding="utf-8"?>
<Properties xmlns="http://schemas.openxmlformats.org/officeDocument/2006/custom-properties" xmlns:vt="http://schemas.openxmlformats.org/officeDocument/2006/docPropsVTypes"/>
</file>