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(Latvijas Vēstnesis, 2018, 6., 172. nr.; 2020, 157. nr.; 2021, 122. nr.; 2022, 74.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Finansējuma saņēmējs visā projekta dzīves ciklā sagatavo ikgadējus pārskatus par papildinošas saimnieciskās darbības apjomu un nodrošina aprēķinus pamatojošo dokumentu pieejamību. Ja finansējuma saņēmējs konstatē, ka ir pārsniegts šo noteikumu 47.3. apakšpunktā minētais 20 % ierobežojums no infrastruktūras gada jaudas platības, laika vai finanšu izteiksmē vai ka veiktās investīcijas tiek izmantotas citai saimnieciskai darbībai, kas nav uzskatāma par papildinošu saimniecisko darbību, tas saskaņā ar līgumu vai vienošanos par projekta īstenošanu noteiktajā termiņā iesniedz sadarbības iestādē ziņojumu par konstatēto šo noteikumu 47.3. apakšpunktā minēto nosacījumu  pārkāpumu. Sadarbības iestādei ir tiesības finansējuma saņēmējam pieprasīt pārskatus par papildinošu saimniecisko darbību visā projekta dzīves cikla laikā, tai skaitā gadījumos, kad no finansējuma saņēmēja, kompetentajām iestādēm vai no trešajām personām saņemta informācija par papildinošas saimnieciskās darbības nosacījumu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Finansējuma saņēmējs šo noteikumu 48. punktā minēto pārskatu par 2024. pārskata gadu sagatavo līdz 2025. gada 1. jūlijam, bet, sākot ar 2025. pārskata gadu, – līdz nākamā gada 1. martam."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25-TA-412</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25-TA-412</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noteikumu_(grozījumu)_projekts_25-TA-412.docx</dc:title>
</cp:coreProperties>
</file>

<file path=docProps/custom.xml><?xml version="1.0" encoding="utf-8"?>
<Properties xmlns="http://schemas.openxmlformats.org/officeDocument/2006/custom-properties" xmlns:vt="http://schemas.openxmlformats.org/officeDocument/2006/docPropsVTypes"/>
</file>