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Veselības aprūpes finansēšanas likuma</w:t>
      </w:r>
      <w:r w:rsidR="00000000" w:rsidRPr="00000000" w:rsidDel="00000000">
        <w:rPr>
          <w:rStyle w:val="paragraph"/>
          <w:i w:val="1"/>
          <w:rtl w:val="0"/>
        </w:rPr>
        <w:t xml:space="preserve"> </w:t>
      </w:r>
      <w:r>
        <w:br/>
      </w:r>
      <w:r w:rsidR="00000000" w:rsidRPr="00000000" w:rsidDel="00000000">
        <w:rPr>
          <w:rStyle w:val="paragraph"/>
          <w:i w:val="1"/>
          <w:rtl w:val="0"/>
        </w:rPr>
        <w:t xml:space="preserve">5. panta otro un trešo daļu, 6. panta otrās daļas 7. un 14. punktu </w:t>
      </w:r>
      <w:r>
        <w:br/>
      </w:r>
      <w:r w:rsidR="00000000" w:rsidRPr="00000000" w:rsidDel="00000000">
        <w:rPr>
          <w:rStyle w:val="paragraph"/>
          <w:i w:val="1"/>
          <w:rtl w:val="0"/>
        </w:rPr>
        <w:t xml:space="preserve">un ceturto daļu, 7. pantu, 8. panta otro daļu </w:t>
      </w:r>
      <w:r>
        <w:br/>
      </w:r>
      <w:r w:rsidR="00000000" w:rsidRPr="00000000" w:rsidDel="00000000">
        <w:rPr>
          <w:rStyle w:val="paragraph"/>
          <w:i w:val="1"/>
          <w:rtl w:val="0"/>
        </w:rPr>
        <w:t xml:space="preserve">un 10. panta trešo daļu, </w:t>
      </w:r>
      <w:r>
        <w:br/>
      </w:r>
      <w:r w:rsidR="00000000" w:rsidRPr="00000000" w:rsidDel="00000000">
        <w:rPr>
          <w:rStyle w:val="paragraph"/>
          <w:i w:val="1"/>
          <w:rtl w:val="0"/>
        </w:rPr>
        <w:t xml:space="preserve">Ārstniecības likuma</w:t>
      </w:r>
      <w:r w:rsidR="00000000" w:rsidRPr="00000000" w:rsidDel="00000000">
        <w:rPr>
          <w:rStyle w:val="paragraph"/>
          <w:i w:val="1"/>
          <w:rtl w:val="0"/>
        </w:rPr>
        <w:t xml:space="preserve"> 3. panta otro daļu un 9. panta piekto daļu,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11. panta 2. punktu </w:t>
      </w:r>
      <w:r>
        <w:br/>
      </w:r>
      <w:r w:rsidR="00000000" w:rsidRPr="00000000" w:rsidDel="00000000">
        <w:rPr>
          <w:rStyle w:val="paragraph"/>
          <w:i w:val="1"/>
          <w:rtl w:val="0"/>
        </w:rPr>
        <w:t xml:space="preserve">un </w:t>
      </w:r>
      <w:r w:rsidR="00000000" w:rsidRPr="00000000" w:rsidDel="00000000">
        <w:rPr>
          <w:rStyle w:val="paragraph"/>
          <w:i w:val="1"/>
          <w:rtl w:val="0"/>
        </w:rPr>
        <w:t xml:space="preserve">Černobiļas atomelektrostacijas avārijas seku</w:t>
      </w:r>
      <w:r w:rsidR="00000000" w:rsidRPr="00000000" w:rsidDel="00000000">
        <w:rPr>
          <w:rStyle w:val="paragraph"/>
          <w:i w:val="1"/>
          <w:rtl w:val="0"/>
        </w:rPr>
        <w:t xml:space="preserve"> </w:t>
      </w:r>
      <w:r>
        <w:br/>
      </w:r>
      <w:r w:rsidR="00000000" w:rsidRPr="00000000" w:rsidDel="00000000">
        <w:rPr>
          <w:rStyle w:val="paragraph"/>
          <w:i w:val="1"/>
          <w:rtl w:val="0"/>
        </w:rPr>
        <w:t xml:space="preserve">likvidēšanas dalībnieku un Černobiļas atomelektrostacijas</w:t>
      </w:r>
      <w:r w:rsidR="00000000" w:rsidRPr="00000000" w:rsidDel="00000000">
        <w:rPr>
          <w:rStyle w:val="paragraph"/>
          <w:i w:val="1"/>
          <w:rtl w:val="0"/>
        </w:rPr>
        <w:t xml:space="preserve"> </w:t>
      </w:r>
      <w:r>
        <w:br/>
      </w:r>
      <w:r w:rsidR="00000000" w:rsidRPr="00000000" w:rsidDel="00000000">
        <w:rPr>
          <w:rStyle w:val="paragraph"/>
          <w:i w:val="1"/>
          <w:rtl w:val="0"/>
        </w:rPr>
        <w:t xml:space="preserve">avārijas rezultātā cietušo personu sociālās aizsardzības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28. augusta noteikumos Nr. 555 "Veselības aprūpes pakalpojumu organizēšanas un samaksas kārtība" (Latvijas Vēstnesis, 2018, 176., 251. nr.; 2019, 63., 96., 254. nr.; 2020, 110B., 134A., 248. nr.; 2021, 83., 105., 123A., 189., 195A., 214., 252A. nr.; 2022, 24., 106., 137., 224. nr.; 2023, 13., 26., 65., 71., 90., 175., 247. nr.; 2024, 13., 85A., 100., 119., 173., 227., 232., 241.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Papildus šo noteikumu 13. 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vecmātei ir tiesības nosūtīt personu valsts apmaksātas dzemdību palīdzības saņemšanai, kā arī izrakstīt ambulatorajai ārstēšanai paredzētās no valsts budžeta līdzekļiem kompensējamās M saraksta zāles un medicīniskās ierīces vecmātes sniegtas dzemdību palīdzības nodrošināšanai grūtniecības un pēcdzemdību periodā saskaņā ar normatīvajiem aktiem par dzemdību palīdzības nodrošināšanas kārtību, ja šādas tiesības ir noteiktas starp dienestu un ārstniecības iestādi noslēgtajā līgumā par veselības aprūpes pakalpojumu sniegšanu un apmaksu no valsts budžeta līdzekļiem;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ārstniecības iestādē nodarbinātiem ārsta palīgiem (feldšeriem) un māsām ir tiesības izrakstīt ambulatorajai ārstēšanai paredzētās no valsts budžeta līdzekļiem kompensējamās zāles un medicīniskās ierīces atbilstoši normatīvajos aktos par recepšu izrakstīšanu noteiktajai kārtībai, ja šādas tiesības ir noteiktas starp dienestu un ārstniecības iestādi noslēgtajā līgumā par veselības aprūpes pakalpojumu sniegšanu un apmaksu no valsts budžeta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ārsta palīgiem un māsām, kuri strādā Ieslodzījuma vietu pārvaldes ārstniecības iestādē, atbilstoši normatīvajos aktos par recepšu izrakstīšanu noteiktajai kārtībai ir tiesības izrakstīt ambulatorajai ārstēšanai paredzētās no valsts budžeta līdzekļiem kompensējamās zāles un medicīniskās ierīces, ja to nosaka līgums, kas noslēgts starp dienestu un Ieslodzījuma vietu pārvaldi."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153.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Dienests, slēdzot līgumu ar ārstniecības iestādi par valsts apmaksāto veselības aprūpes pakalpojumu sniegšanu, līgumā iekļauj šādus nosacījumus: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1. finansējums darba samaksas palielināšanai tiek novirzīts ārstniecības personām, kurām esošā darba samaksa nepārsniedz divas Centrālās statistikas pārvaldes oficiālajā statistikas paziņojumā publicēto valstī strādājošo iepriekšējā gada mēneša vidējās darba samaksas, kas noapaļotas pilnos euro;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2. ārstniecības personām, kurām esošā darba samaksa pārsniedz divas, bet nepārsniedz trīs Centrālās statistikas pārvaldes oficiālajā statistikas paziņojumā publicēto valstī strādājošo iepriekšējā gada mēneša vidējās darba samaksas, kas noapaļotas pilnos euro, darba samaksas palielināšanai novirzīt palielinājumu proporcionāli piešķirtajam finansējumam atbilstoši šo noteikumu 153. punktā ārstniecības personu grupu darba samaksas pieaugumam.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153.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5</w:t>
      </w:r>
      <w:r w:rsidR="00000000" w:rsidRPr="00000000" w:rsidDel="00000000">
        <w:rPr>
          <w:rtl w:val="0"/>
        </w:rPr>
        <w:t xml:space="preserve"> Ja dienests konstatē, ka ārstniecības iestāde nav ievērojusi šo noteikumu 153.</w:t>
      </w:r>
      <w:r w:rsidR="00000000" w:rsidRPr="00000000" w:rsidDel="00000000">
        <w:rPr>
          <w:vertAlign w:val="superscript"/>
          <w:rtl w:val="0"/>
        </w:rPr>
        <w:t xml:space="preserve">4</w:t>
      </w:r>
      <w:r w:rsidR="00000000" w:rsidRPr="00000000" w:rsidDel="00000000">
        <w:rPr>
          <w:rtl w:val="0"/>
        </w:rPr>
        <w:t xml:space="preserve"> punktā un līgumā minētos nosacījumus, tad par attiecīgo summu kopējais līguma finansējums tiek samazināts."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25-TA-302</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25-TA-302</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noteikumu_(grozījumu)_projekts_25-TA-302.docx</dc:title>
</cp:coreProperties>
</file>

<file path=docProps/custom.xml><?xml version="1.0" encoding="utf-8"?>
<Properties xmlns="http://schemas.openxmlformats.org/officeDocument/2006/custom-properties" xmlns:vt="http://schemas.openxmlformats.org/officeDocument/2006/docPropsVTypes"/>
</file>