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Vispārējās vidējās izglītības programmas paraugs izglītības ieguvei neklātienes vai tālmācības formā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Vispārējās vidējās izglītības programmas izglītības ieguvei neklātienes vai tālmācības formā (turpmāk – izglītības programma) mērķis ir nodrošināt skolēna vispusīgu attīstību un vērtīborientāciju, lai skolēns gribētu un varētu turpināt izglītību vai apgūt profesiju, iesaistīties sabiedrības dzīvē un veidoties par laimīgu un atbildīgu personību. Uzdevumi ir īstenojami atbilstoši valsts vispārējās vidējās 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programmas īpašais mērķis ir dot iespēju iegūt izglītību neklātienes vai tālmācības formā personām, kurām nav iespēju regulāri apmeklēt izglītības iestādi (darba, dzīvesvietas, veselības stāvokļa, sociālu vai citu iemeslu dēļ), kuras dod priekšroku individuālam mācību tempam un kuras ir gatavas patstāvīgām mācībām.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Izglītības programmas obligāto saturu un tā apguves plānotos rezultātus mācību jomās nosaka valsts vispārējās vidējās izglītības standarts.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Skolēnus 10.–12.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w:t>
      </w:r>
      <w:r w:rsidR="00000000" w:rsidRPr="00000000" w:rsidDel="00000000">
        <w:rPr>
          <w:b w:val="1"/>
          <w:rtl w:val="0"/>
        </w:rPr>
        <w:t xml:space="preserve">oģiskā procesa organizācijas principi un īstenošanas plāns, tajā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Izglītības iestāde veido izglītības programmu, pamatojoties uz tabulā norādītajiem kursiem.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Stundu skaits mācību priekšmetu pamatkursos, padziļinātajos kursos un specializētajos kursos mācību jomās izglītības ieguvei neklātienes vai tālmācības formā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gridCol w:w="7604"/>
        <w:gridCol w:w="7604"/>
        <w:tblGridChange w:id="0">
          <w:tblGrid>
            <w:gridCol w:w="1856"/>
            <w:gridCol w:w="7604"/>
            <w:gridCol w:w="7604"/>
            <w:gridCol w:w="7604"/>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priekšmeti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Padziļinātie 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Specializētie kursi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 I</w:t>
            </w:r>
            <w:r w:rsidR="00000000" w:rsidRPr="00000000" w:rsidDel="00000000">
              <w:rPr>
                <w:vertAlign w:val="superscript"/>
                <w:rtl w:val="0"/>
              </w:rPr>
              <w:t xml:space="preserve">1</w:t>
            </w:r>
            <w:r w:rsidR="00000000" w:rsidRPr="00000000" w:rsidDel="00000000">
              <w:rPr>
                <w:rtl w:val="0"/>
              </w:rPr>
              <w:t xml:space="preserve"> (210)</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 un literatūra II (105)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Latgaliešu rakstu valoda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svešvaloda (B1) (150)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Mazākumtautības valoda un literatūra (140)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Svešvaloda I (B2) Svešvaloda (B1) (210)</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Svešvaloda II (C1)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 un vēsture (70)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Vēsture II (105)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Novadu mācība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Filozofija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Uzņēmējdarbības pamati (70)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Vēsture un sociālās zinātnes I (140)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zinātnes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 un pašizpausme mākslā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pamati (53)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Radošā rakstīšana (105)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Vizuāli plastiskā māksla (70) Teātris un drāma (70)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 I</w:t>
            </w:r>
            <w:r w:rsidR="00000000" w:rsidRPr="00000000" w:rsidDel="00000000">
              <w:rPr>
                <w:vertAlign w:val="superscript"/>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 (vizuālā māksla)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 (mūzika)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 (teātra māksla)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Dabaszinības (210)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Astronomija (35)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Fizika I (175)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Fizika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Ķīmija I (140)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Ķīmija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Bioloģija I (70)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Bioloģija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Ģeogrāfija I (105)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Ģeogrāfija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 I (380)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 II (250)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Projicēšanas metodes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Diskrētās matemātikas elementi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Kompleksie skaitļi (35)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Datorika (70)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Digitālais dizains (70)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Robotika (70)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 I (105)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Programmēšana I (105)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Programmēšana II (105)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drošības un fiziskās aktivitātes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Starpdisciplinārs kurss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darbs (35)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Kursu nosaukumos izmantota romiešu ciparu numerācija. I – pamatkursiem optimālajā apguves līmenī un II – padziļinātajiem kursiem, lai norādītu pēctecību. Pamatkursos, kuru nosaukumos nav romiešu ciparu numerācijas, nodrošina vispārīgā līmeņa sasniedzamos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Kursam "Latviešu valoda I" un "Literatūra I" norādīts kopējais stundu skaits. Izglītības iestāde to var variēt pēc saviem ieskatiem vai piedāvāt vienu integrētu kursu.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Nosaukts kopējais stundu skaits vienas svešvalodas apguvei vismaz līdz optimālajam līmenim (B2) ("Svešvaloda I") un otras svešvalodas apguvei vismaz līdz vispārīgajam līmenim (B1) ("Svešvaloda").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Kursā "Sports un veselība" skolēni apgūst mācību satura teorētisko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Izglītības iestāde no šā pielikuma tabulā iekļautajiem kursiem skolēniem piedāvā un īsteno vismaz divus padziļināto kursu komplektus un atbilstošus pamatkursus katrā mācību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valodu mācību jomā – "Latviešu valoda I", divas svešvalodas – viena no Eiropas Savienības oficiālajām valodām (angļu, franču vai vācu) vismaz līdz optimālajam līmenim (B2) ("Svešvaloda I") un otra svešvaloda (angļu, franču, vācu vai krievu) vismaz līdz vispārīgajam līmenim (B1) ("Svešvaloda");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sociālajā un pilsoniskajā mācību jomā – "Sociālās zinības un vēsture" vai "Vēsture un sociālās zinātnes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kultūras izpratnes un pašizpausmes mākslā mācību jomā – "Literatūra I" un "Kultūras pamati" vai kāds no trim pamatkursiem: "Kultūra un māksla I (vizuālā māksla)", "Kultūra un māksla I (mūzika)" vai "Kultūra un māksla I (teātra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dabaszinātņu mācību jomā – "Dabaszinības" vai četri pamatkursi: "Ķīmija I", "Fizika I", "Bioloģija I" un"Ģeogrāfija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matemātikas mācību jomā – "Matemātika I"; 6.6. tehnoloģiju mācību jomā – "Datorika" vai viens no pamatkursiem: "Dizains un tehnoloģijas I" vai "Programmēšana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veselības, drošības un fiziskās aktivitātes mācību jomā – "Sports un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Izglītības iestāde var mainīt mācību stundu skaitu kursā, nesamazinot to vairāk par 15 procentiem no šā pielikuma tabulā kursam noteiktā stundu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Izglītības iestāde var īstenot šā pielikuma tabulā minētos specializētos kursus vai piedāvāt un īstenot savus. Īstenojot specializēto kursu "Mazākumtautības valoda un literatūra", plānotie skolēnam sasniedzamie rezultāti atvasināmi no valodu jomas plānotajiem sasniedzamajiem rezultātiem latviešu valodai un kultūras izpratnes un pašizpausmes mākslā mācību jomas plānotajiem sasniedzamajiem rezultātiem, kas noteikti šo noteikumu 9.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kursu un stundu plānu ar kopējo mācību stundu skaitu kursā mēnesī, semestrī, mācību gadā un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Valsts vispārējās vidējās izglītības standartā noteikto mērķu sasniegšanai izmanto daudzveidīgas mācību un audzināšanas darba formas, variējot to īstenošanas ilgumu atbilstoši mērķim un skolēnu mācīšanās vajadzībām. Skolēnam plānotos sasniedzamos rezultātus sasniedz vienotā mācību un audzināšanas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Vispārējās izglītības iestāde, iekļaujot skolēnu ar speciālām vajadzībām, izstrādā individuālo izglītības programmas apguves plānu, lai sekmētu skolēna iekļaušanos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Mācību satura īstenošanai izglītības iestāde vai pedagogs mācību līdzekļus izvēlas atbilstoši plānotajam skolēnam sasniedzamajam rezultātam un izmanto Ministru kabineta noteikumos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Izglītības iestāde nodrošina normatīvajos aktos noteiktajām higiēnas prasībām atbilstošu mācību procesu, iekļaujošu, intelektuālo un sociāli emocionālo attīstību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informācijas iegūšanai, problēmu risināšanai un improvizētām darbnīcām modeļu un prototipu izgatavošanai.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Izglītības iestāde, piedāvājot vispārējās vidējās izglītības programmas īstenošanu tālmācības formā un sasniedzot valsts vispārējās vidējās izglītības standartā plānotos sasniedzamos rezultātus, nodrošina atbilstošus cilvēkresursus un tehnisko nodrošinājumu, piemēram, videolekciju un individuālu konsultāciju organizēšanai tiešsaistē, saziņai izglītības iestādes tiešsaistes elektroniskajā mācību vidē un tālmācībai paredzēto mācību materiālu izstrādei.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Skolēnu mācību snieguma vērtēšanas pamatprincipi, vērtēšanas veidi, vērtējuma izteikšanas veids un valsts noteiktie pārbaudes darbi izglītības pakāpes beigās ir noteikti valsts vispārējās vidējās 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Izglītības iestāde izstrādā skolēnu mācību sasniegumu vērtēšanas kārtību atbilstoši vispārējās vidējās izglītības standartā noteiktajiem vērtēšanas pamatprincipiem, piemēram, nosakot vērtēšanas mērķi, tās vietu mācību procesā, pārbaudījumu apjomu un skaitu (vienai klasei vienā dienā neplānojot vairāk par vienu temata noslēguma pārbaudes darbu), vērtējuma izteikšanas veidu, skolēna vecāku vai tā likumisko pārstāvju informēšanas kārtību, "nv" (nav vērtējuma) izmantošanas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Skolēnu mācību snieguma vērtēšanas metodiskos paņēmienus, izpildes laiku un vērtēšanas kritērijus nosaka pedagogs, ievērojot mācību jomā noteiktos skolēnam plānotos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Izglītības programmas apguvi katrā klasē apliecina liecība, kas ietver skolēna sasnieguma vērtējumu kursa apguves noslēgumā vai vērtējumu kursā mācību gada noslēgumā, ja kurss turpinās nākamajā mācību gadā. Skolēnu pārcelšana nākamajā klasē notiek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Izmaksas izglītības programmas īstenošanai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Apmaksājamo stundu skaitu mēnesī aprēķina atbilstoši izglītības iestādes vadītāja apstiprinātajam kursu un stundu īstenošanas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Pedagoga darba slodzi un darba samaksu nosaka atbilstoši normatīvajam regulējumam par pedagogu darba samaksu.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noteikumu_konsolidētā_versija_p12_22-TA-2091.docx</dc:title>
</cp:coreProperties>
</file>

<file path=docProps/custom.xml><?xml version="1.0" encoding="utf-8"?>
<Properties xmlns="http://schemas.openxmlformats.org/officeDocument/2006/custom-properties" xmlns:vt="http://schemas.openxmlformats.org/officeDocument/2006/docPropsVTypes"/>
</file>