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690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27. oktobrī (prot. Nr. 53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budžeta apakšprogrammu 01.05.00 "Dotācija privātajām mācību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apropriācijas pārdali 11 568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17.00.00 "Finansējums Ukrainas civiliedzīvotāju atbalsta likumā noteikto pasākumu īstenošanai" uz Izglītības un zinātnes ministrijas budžeta apakšprogrammu 01.05.00 "Dotācija privātajām mācību iestādēm", lai privātajām izglītības iestādēm kompensētu izdevumus, kas saistīti ar izglītības ieguves iespēju nodrošināšanu nepilngadīgajiem Ukrainas civiliedzīvotājiem (patvēruma meklētājiem) laikposmā no 2023. gada 1. aprīļa līdz 2023.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un zinātnes ministrijai normatīvajos aktos noteiktajā kārtībā sagatavot un iesniegt Finanšu ministrijā pieprasījumu valsts budžeta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23-TA-2321</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23-TA-2321</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rīkojuma_projekts_23-TA-2321.docx</dc:title>
</cp:coreProperties>
</file>

<file path=docProps/custom.xml><?xml version="1.0" encoding="utf-8"?>
<Properties xmlns="http://schemas.openxmlformats.org/officeDocument/2006/custom-properties" xmlns:vt="http://schemas.openxmlformats.org/officeDocument/2006/docPropsVTypes"/>
</file>