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19. augustā (prot. Nr. 32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3.1. prioritātes "Ilgtspējīga TEN-T infrastruktūra" 3.1.1. specifiskā atbalsta mērķa "Attīstīt ilgtspējīgu, pret klimatu izturīgu, inteliģentu, drošu un vairākveidu TEN-T infrastruktūru" 3.1.1.5. pasākumu "Nacionālās nozīmes centru maģistrālo ielu un esošo maršrutu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to nacionālās nozīmes centru maģistrālo ielu un esošo maršrutu attīstība, kuri nodrošina atsevišķu pilsētu daļu efektīvu savstarpējo sasaisti un sasaisti ar Eiropas transporta tīklu (turpmāk – TEN-T), un alternatīvu kravas ceļu izbūve, pārbūve vai modernizācija, veicot ieguldījumus nacionālās nozīmes centru ielās, kas ietilpst TEN-T pamattīkla vai vispārējā tīkla maršrutu turpinājumos valstspilsētu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finansējuma saņēmējs ir valstspilsētas – Jelgavas, Jēkabpils, Jūrmalas, Liepājas un Ventspils – pašvaldība vai tās izveidota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un pieejamais kopējais finansējums ir ne vairāk kā 18 933 112 </w:t>
      </w:r>
      <w:r w:rsidR="00000000" w:rsidRPr="00000000" w:rsidDel="00000000">
        <w:rPr>
          <w:i w:val="1"/>
          <w:rtl w:val="0"/>
        </w:rPr>
        <w:t xml:space="preserve">euro</w:t>
      </w:r>
      <w:r w:rsidR="00000000" w:rsidRPr="00000000" w:rsidDel="00000000">
        <w:rPr>
          <w:rtl w:val="0"/>
        </w:rPr>
        <w:t xml:space="preserve">, tai skaitā Kohēzijas fonda finansējums – 16 093 145 </w:t>
      </w:r>
      <w:r w:rsidR="00000000" w:rsidRPr="00000000" w:rsidDel="00000000">
        <w:rPr>
          <w:i w:val="1"/>
          <w:rtl w:val="0"/>
        </w:rPr>
        <w:t xml:space="preserve">euro</w:t>
      </w:r>
      <w:r w:rsidR="00000000" w:rsidRPr="00000000" w:rsidDel="00000000">
        <w:rPr>
          <w:rtl w:val="0"/>
        </w:rPr>
        <w:t xml:space="preserve"> un nacionālais līdzfinansējums (pašvaldību finansējums) – 2 839 967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Maksimālais attiecināmais Kohēzijas fonda finansējuma apmērs nepārsniedz 85 procentus no projektā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projekta īstenošanā, ja nepieciešams, var piesaistīt papildu publiskos līdzekļus attiecināmo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saņēmējiem pasākuma ietvaros pieejamais maksimālais Kohēzijas fonda finansējums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Jelgavai – 5 888 812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Jūrmalai – 1 574 212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Jēkabpilij – 7 063 717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Liepājai – 375 712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Ventspilij – 1 190 692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Kohēzijas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līdz 2029. gada 31. decembrim, sasniedzot iznākuma rādītāju – jaunu vai modernizētu autoceļu garums – TEN-T – 5,8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rādītājs ir sasniegts, kad tiek pabeigti projektā paredzētie būvdarbi un tas tiek pamatots ar iesniegtiem būvdarbu pabeigšanu pamatojošiem dokumentiem, objekti ir nodoti ekspluatācijā saskaņā ar būvniecības jomu reglamentējošiem normatīvajiem aktiem un projekts ir pabeigts.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iesniedz vienu projekta iesniegumu.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ir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pašvaldība vai tās izveidota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pievienojot projektam veikto izmaksu un ieguvumu analīzi (projektiem, kuru kopējās izmaksas pārsniedz 1 000 000 </w:t>
      </w:r>
      <w:r w:rsidR="00000000" w:rsidRPr="00000000" w:rsidDel="00000000">
        <w:rPr>
          <w:i w:val="1"/>
          <w:rtl w:val="0"/>
        </w:rPr>
        <w:t xml:space="preserve">euro</w:t>
      </w:r>
      <w:r w:rsidR="00000000" w:rsidRPr="00000000" w:rsidDel="00000000">
        <w:rPr>
          <w:rtl w:val="0"/>
        </w:rPr>
        <w:t xml:space="preserve">), un iesniedz to sadarbības iestādē, izmantojot Kohēzijas politikas fondu vadības informācijas sistēmu.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TEN-T pamattīkla vai vispārējā tīkla maršrutos ietilpstošo nacionālās nozīmes centru maģistrālo ielu un esošo maršrutu attīstība, kuri nodrošina atsevišķu pilsētu daļu efektīvu savstarpējo sasaisti un sasaisti ar TEN-T tīklu, un alternatīvu kravas ceļu izbūve, pārbūve vai modernizācija;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tai skaitā izmaksu un ieguvumu analīzes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tostarp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iegādes izmaksas, tai skaitā ar īpašuma tiesību nostiprināšanu zemesgrāmatā saistītās izmaksas, ja zemes iegāde ir tieši nepieciešama projektā paredzētās būvniecības īstenošanai, bet ne vairāk kā 10 procentu apmērā no projekta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pārvada, gājēju un velosipēdistu tilta, tuneļa un rampas (turpmāk – transportbūves)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apbraucamo ielu būvniecības, nojaukšanas un uzturēšanas izmaksas transportbūvju un ielu būvniecības laikā, bet ne vairāk kā 10 procentu apmērā no būvdarbu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transportbūvei vai ceļa kompleksam piegulošā inženiertīkla pārbūves izmaksas ne vairāk kā 10 procentu apmērā no projekta attiecināmo izmaksu kopsummas. Izmaksas attiecināmas tikai tad,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inženiertīkla pārbūvē tiek veikti, nemainot inženiertīkla tehniskos parametrus un neradot priekšrocības to īpašniekiem, kā arī nodrošinot atbilstību valsts atbalsta regulējumam;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esošo ielu modernizēšanas un pārbūves izmaksas, kā arī krustojumu, apgaismojuma līniju, pieturvietu, lietusūdens savākšanas un attīrīšanas iekārtu izbūves izmaksas, ja minētie objekti ir nedalāmi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sabiedriskā transporta pieturvietu vides piekļūstamības uzlabošanu saistītās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velosipēdu un gājēju ceļiem saistītās izmaksas, ar nosacījumu, ka minētajām darbībām nav nepieciešama zemes iegāde un tās ir nedalāmi saistītas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labiekārtošanas izmaksas, tai skaitā apzaļumošana;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ceļu satiksmes organizācijas tehnisko līdzekļu uzstādīšanas un atjaunošanas izmaksas, piemēram, ceļa zīmes, luksofori, signālstabiņi, aizsargbarjeras, gājēju barjeras, vertikālie un horizontālie ceļa apzīmējumi;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satiksmes vadības aprīkojuma uzstādīšanas un atjaunošanas izmaksas, piemēram, meteoroloģiskās stacijas, kas nepieciešamas transportbūves un ielu posma seguma stāvokļa un slodzes noteikšanai, un satiksmes intensitātes uzskaites punkti;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būvprojekta izstrādes un ar to saistīto būvekspertīžu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autoruzraudzības un būvdarbu būvuzraudzības izmaksas atbilstoši būvniecības jomu regulējošiem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būvdarbu līgumcenu indeksācijas izmaksas atbilstoši normatīvajiem aktiem par publisko būvdarbu līgumos obligāti ietveramajiem noteikumiem un to saturu;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vides piekļūstamības ekspertu konsultāciju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vadības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20.19. </w:t>
      </w:r>
      <w:r w:rsidR="00000000" w:rsidRPr="00000000" w:rsidDel="00000000">
        <w:rPr>
          <w:rtl w:val="0"/>
        </w:rPr>
        <w:t xml:space="preserve">apakšpunktā</w:t>
      </w:r>
      <w:r w:rsidR="00000000" w:rsidRPr="00000000" w:rsidDel="00000000">
        <w:rPr>
          <w:rtl w:val="0"/>
        </w:rPr>
        <w:t xml:space="preserve"> minētajām tiešajām attiecināmajām izmaksām. Netiešo izmaksu vienoto likmi piemēro projekta vadības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2021/1060), 64. panta 1. punkta "c" apakšpunkta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kuru kopējās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gadījumos, kad tas nav atgūstams saskaņā ar normatīvajiem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20.19. </w:t>
      </w:r>
      <w:r w:rsidR="00000000" w:rsidRPr="00000000" w:rsidDel="00000000">
        <w:rPr>
          <w:rtl w:val="0"/>
        </w:rPr>
        <w:t xml:space="preserve">apakšpunktā</w:t>
      </w:r>
      <w:r w:rsidR="00000000" w:rsidRPr="00000000" w:rsidDel="00000000">
        <w:rPr>
          <w:rtl w:val="0"/>
        </w:rPr>
        <w:t xml:space="preserve"> minētās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34 422 </w:t>
      </w:r>
      <w:r w:rsidR="00000000" w:rsidRPr="00000000" w:rsidDel="00000000">
        <w:rPr>
          <w:i w:val="1"/>
          <w:rtl w:val="0"/>
        </w:rPr>
        <w:t xml:space="preserve">euro</w:t>
      </w:r>
      <w:r w:rsidR="00000000" w:rsidRPr="00000000" w:rsidDel="00000000">
        <w:rPr>
          <w:rtl w:val="0"/>
        </w:rPr>
        <w:t xml:space="preserve"> Kohēzijas fonda finansējuma daļai gadā, pieskaitot 0,64 procentus no projekta tiešajām attiecināmajām izmaksām (neieskaitot tiešās projekta vadības personāla izmaksas), ja projekta tiešās attiecināmās izmaksas nepārsniedz 5 000 000 </w:t>
      </w:r>
      <w:r w:rsidR="00000000" w:rsidRPr="00000000" w:rsidDel="00000000">
        <w:rPr>
          <w:i w:val="1"/>
          <w:rtl w:val="0"/>
        </w:rPr>
        <w:t xml:space="preserve">euro</w:t>
      </w:r>
      <w:r w:rsidR="00000000" w:rsidRPr="00000000" w:rsidDel="00000000">
        <w:rPr>
          <w:rtl w:val="0"/>
        </w:rPr>
        <w:t xml:space="preserve"> (ieskaitot). Par nepilnu kalendāra gadu fiksēto summu aprēķina proporcionāli projekta īstenošanas mēnešu skaitam;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84 787 </w:t>
      </w:r>
      <w:r w:rsidR="00000000" w:rsidRPr="00000000" w:rsidDel="00000000">
        <w:rPr>
          <w:i w:val="1"/>
          <w:rtl w:val="0"/>
        </w:rPr>
        <w:t xml:space="preserve">euro </w:t>
      </w:r>
      <w:r w:rsidR="00000000" w:rsidRPr="00000000" w:rsidDel="00000000">
        <w:rPr>
          <w:rtl w:val="0"/>
        </w:rPr>
        <w:t xml:space="preserve">Kohēzijas fonda finansējuma daļai kalendāra gadā, ja projekta tiešās attiecināmās izmaksas ir lielākas nekā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20.19. </w:t>
      </w:r>
      <w:r w:rsidR="00000000" w:rsidRPr="00000000" w:rsidDel="00000000">
        <w:rPr>
          <w:rtl w:val="0"/>
        </w:rPr>
        <w:t xml:space="preserve">apakšpunktā</w:t>
      </w:r>
      <w:r w:rsidR="00000000" w:rsidRPr="00000000" w:rsidDel="00000000">
        <w:rPr>
          <w:rtl w:val="0"/>
        </w:rPr>
        <w:t xml:space="preserve"> minētās tiešās attiecināmās projekta vadības personāla izmaksas, finansējuma saņēmējs veic darba laika uzskaiti par projekta vadības personāla projekta ietvaros veiktajām funkcijām un nostrādāto laiku un nodrošina, ka personālam, kas nodarbināts pilnu darba laiku, nepilnu darba laiku vai daļlaiku ne mazāk kā 30 procentu apmērā no normālā darba laika, tiešajās attiecināmajās projekta vadības personāla izmaksās iekļauj darba algu, valsts sociālās apdrošināšanas obligātās iemaksas no apliekamajām attiecināmajām izmaksām, normatīvajos aktos darba tiesību un atlīdzības jomā noteiktās piemaksas un sociālo garantiju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tai skaitā izmaksas, kas pārsniedz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izmaksas ir attiecināmas no 2022. gada 25. novembra, izņemot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20.15.</w:t>
      </w:r>
      <w:r w:rsidR="00000000" w:rsidRPr="00000000" w:rsidDel="00000000">
        <w:rPr>
          <w:rtl w:val="0"/>
        </w:rPr>
        <w:t xml:space="preserve"> un </w:t>
      </w:r>
      <w:r w:rsidR="00000000" w:rsidRPr="00000000" w:rsidDel="00000000">
        <w:rPr>
          <w:rtl w:val="0"/>
        </w:rPr>
        <w:t xml:space="preserve">20.16.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 Projekta iesniegumā neiekļauj pabeigtas darbības un finansējumu tām nepiešķir.</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ietvaros pārbūvējamo vai modernizējamo ielu posmi valstspilsētā ietilpst TEN-T pamattīkla vai vispārējā tīkla maršrutos;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ietvaros pārbūvējamā vai izbūvējamā transporta infrastruktūra atbilst pašvaldības apstiprinātajai attīstības programmai un investīciju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faktiski sasniegto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 objektu skaits, kuros ir nodrošināta vides un informācijas piekļūstamība – un citiem horizontālo principu rādītājiem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izpilda attiecināmās prasības un nodrošina, ka projekts atbilst principiem "Nenodarīt būtisku kaitējumu" un "Klimatdrošināšana" un Eiropas Savienības kohēzijas politikas programmā 2021.–2027. gadam noteiktajiem Eiropas Savienības un Latvijas Republikas normatīvajiem aktiem vides aizsardzības un klimata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iznākuma rādītāja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lai pasākuma ietvaros attiecināmās izmaksas nepārklātos ar citiem valsts un ārvalstu finanšu atbalsta instrumentiem un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sasniegto rezultātu ilgtspēju vismaz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īstenošanas rezultātā radīto vērtību uzturēšanu, laikus plānojot periodisku nodilušo konstrukciju atjaunošanu par finansējuma saņēmēja vai papildus piesaistītajiem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 līdz noslēguma maksājuma pieprasījuma iesniegšanai sadarbības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w:t>
      </w:r>
      <w:r w:rsidR="00000000" w:rsidRPr="00000000" w:rsidDel="00000000">
        <w:rPr>
          <w:rtl w:val="0"/>
        </w:rPr>
        <w:t xml:space="preserve">regulas 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interešu konflikta neesību saskaņā ar </w:t>
      </w:r>
      <w:r w:rsidR="00000000" w:rsidRPr="00000000" w:rsidDel="00000000">
        <w:rPr>
          <w:rtl w:val="0"/>
        </w:rPr>
        <w:t xml:space="preserve">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w:t>
      </w:r>
      <w:r w:rsidR="00000000" w:rsidRPr="00000000" w:rsidDel="00000000">
        <w:rPr>
          <w:rtl w:val="0"/>
        </w:rPr>
        <w:t xml:space="preserve">, 61. pantu un normatīvajiem aktiem publisko iepirkumu jomā,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var īstenot sociāli atbildīgu iepirkumu, kā arī piemērot inovatīvā publiskā iepirkuma nosacījumus,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vienošanās noslēgšanas par projekta īstenošanu. Finansējuma saņēmējs avansa pieprasījumu sagatavo un sadarbības iestāde apstiprina, ievērojot nosacījumu, ka plānotā avansa apmērs un tā pamatojums atbilst spējai to izlietot sešu mēnešu laikā saimnieciskā gada ietvaros (piemēram, projekta iesniedzējam ir pabeigts būvdarbu iepirkums vai noslēgts būvdarbu līgums). Finansējuma saņēmējam avansu var piešķirt līdz 50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īstenošanas teritorija ir valstspilsēta – Jelgava, Jēkabpils, Jūrmala, Liepāja un Ventspils.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24-TA-3274</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24-TA-3274</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noteikumu_projekts_24-TA-3274.docx</dc:title>
</cp:coreProperties>
</file>

<file path=docProps/custom.xml><?xml version="1.0" encoding="utf-8"?>
<Properties xmlns="http://schemas.openxmlformats.org/officeDocument/2006/custom-properties" xmlns:vt="http://schemas.openxmlformats.org/officeDocument/2006/docPropsVTypes"/>
</file>