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 aprīlī (prot. Nr. 14 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9. janvāra noteikumos Nr. 32 "Latvijas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otrās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9. janvāra noteikumos Nr. 32 "Latvijas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otrās kārtas īstenošanas noteikumi" (Latvijas Vēstnesis, 2024, 12.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29.6.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"29.6. tas atbilst komercdarbības atbalsta nosacījumiem un </w:t>
      </w:r>
      <w:r w:rsidR="00000000" w:rsidRPr="00000000" w:rsidDel="00000000">
        <w:rPr>
          <w:i w:val="1"/>
          <w:rtl w:val="0"/>
        </w:rPr>
        <w:t xml:space="preserve">de minimis</w:t>
      </w:r>
      <w:r w:rsidR="00000000" w:rsidRPr="00000000" w:rsidDel="00000000">
        <w:rPr>
          <w:rtl w:val="0"/>
        </w:rPr>
        <w:t xml:space="preserve"> atbalsta nosacījumiem saskaņā ar Komisijas 2023. gada 13. decembra Regulu (ES) Nr. 2023/2831 par Līguma par Eiropas Savienības darbību 107. un 108. panta piemērošanu d</w:t>
      </w:r>
      <w:r w:rsidR="00000000" w:rsidRPr="00000000" w:rsidDel="00000000">
        <w:rPr>
          <w:i w:val="1"/>
          <w:rtl w:val="0"/>
        </w:rPr>
        <w:t xml:space="preserve">e</w:t>
      </w:r>
      <w:r w:rsidR="00000000" w:rsidRPr="00000000" w:rsidDel="00000000">
        <w:rPr>
          <w:i w:val="1"/>
          <w:rtl w:val="0"/>
        </w:rPr>
        <w:t xml:space="preserve"> minimis</w:t>
      </w:r>
      <w:r w:rsidR="00000000" w:rsidRPr="00000000" w:rsidDel="00000000">
        <w:rPr>
          <w:rtl w:val="0"/>
        </w:rPr>
        <w:t xml:space="preserve"> atbalstam (Eiropas Savienības Oficiālais Vēstnesis, 2023. gada 13. decembris, Nr. L 2023/2831) (turpmāk – Komisijas regula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darbībām, kas saistītas ar fosilo kurināmo, tostarp tā pakārtotu izmantošanu, izņemot projektus elektroenerģijas vai siltuma ražošanai, kā arī ar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32.2.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darbībām, kas saistītas ar atkritumu poligoniem, atkritumu sadedzināšanas iekārtām (izņemot darbības, kas paredzētas iekārtām vienīgi nepārstrādājamu bīstamo atkritumu apstrādei, un darbības, kas paredzētas esošām iekārtām, lai palielinātu energoefektivitāti, uztvertu izplūdes gāzes glabāšanai vai izmantošanai vai reģenerētu materiālus no sadedzināšanas iekārtu darbības rezultātā radušamies pelniem, ar nosacījumu, ka šādas darbības saskaņā ar šo investīciju nepalielina iekārtu atkritumu pārstrādes jaudu vai nepagarina iekārtu darbmūžu, par ko pētniecības projekta noslēgumā ir sniegti pierādījumi iekārtu līmenī) un mehāniski bioloģiskās apstrādes iekārtām (izņemot darbības, kas paredzētas esošām iekārtām, lai palielinātu energoefektivitāti vai modernizētu dalīto atkritumu pārstrādes darbības, atkritumus pārveidojot par komposta bioatkritumiem un veicot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darbībām, kas saistībā ar ilgstošu atkritumu apglabāšanu var radīt kaitējumu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"32.6. 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"32.7. darbībām, kas kaitē vides piesārņojuma novēršanai un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"32.8. 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"32.9. 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finansējuma saņēmēja organizētajai pētniecības projektu koordinācijai, tai skaitā sadarbības veicināšanai, informācijas un zināšanu kopīgošanai, kā arī projekta vadības izmaksu segšanai. Finansējumu investīcijas ietvaros šajā apakšpunktā minētajām darbībām sniedz aģentūra, ievērojot Komisijas regulu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Atbalstu projekta iesniedzējam nepiešķir Komisijas regulas Nr. 2023/2831 1. panta 1. punktā noteiktajām nozarēm un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Komercdarbības atbalstu drīkst piešķirt tikai tad, ja tiek skaidri nodalītas darbības un finanšu plūsmas atbalstāmajās nozarēs, nodrošinot, ka darbības neatbalstāmajās nozarēs negūst labumu no pasākuma ietvaros piešķirtā atbalsta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 ja projekta iesniedzējs darbojas kādā no neatbalstāmajām nozarēm saskaņā ar šo noteikumu 45. punktu atbilstoši Komisijas regulas Nr. 2023/2831 1. panta 2. punkta nosacījumiem un šo noteikumu 47.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48.2. ja sadarbības partneris darbojas kādā no neatbalstāmajām nozarēm saskaņā ar šo noteikumu 46. punktu atbilstoši Komisijas regulas Nr. 651/2014 1. panta 3. punkta pēdējās rindkopas nosacījumiem un šo noteikumu 47.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 finansējuma saņēmējam projekta attiecināmās izmaksas. Finansējumu šajā apakšpunktā minētajām darbībām sniedz saskaņā ar Komisijas regulu Nr. 2023/2831: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49.2.1. izmaksas šo noteikumu 79. punktā minēto pienākumu veikšanai saskaņā ar normatīvajiem aktiem par kārtību, kādā atlīdzināmi ar komandējumiem saistītie izdevumi (finansējuma saņēmēja dalības maksa iesaistei starptautiskajās pētniecības un attīstības programmās, platformās un iniciatīvās, dalības maksa tīklošanās un mobilitātes pasākumiem, starptautisko projektu sagatavošanas izmaksas, lai iesaistītos starptautiskajos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49.2.2. 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49.2.3. ārpakalpojumu iegāde – projekta vadības, juridiskie, grāmatvedības, lietvedības, neatkarīga revidenta, iekšējā auditora un tulkošanas pakalpojumi, kas nepieciešami darbības nodrošināšanai;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49.2.4. komunikācijas izmaksas, kas saistītas ar publicitātes pasākumiem stratēģiski svarīga projekta ietvaros, saskaņā ar šo noteikumu 79.1.3.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"60.3. pievienotās vērtības nodoklis, muitas nodokļi, nodevas un soda maksājumi, ko finansējuma saņēmējs un sadarbības partneris sedz no privātā līdzfinansējuma, nodrošinot visām šajā apakšpunktā minētajām izmaksām atsevišķu projekta izmaksu (tai skaitā pievienotās vērtības nodokļa izmaksu) uzskaiti un nodalīšanu;".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 Informācijas pieejamība un dokumentu glabāšana tiek nodrošināta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119.1. finansējuma saņēmējs nodrošina informācijas pieejamību un dokumentu glabāšanu 10 gadus, sākot no dienas, kad piešķirts pēdējais komercdarbības atbalsts sadarbības partnerim;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119.2. sadarbības partneris nodrošina informācijas pieejamību un dokumentu glabāšanu 10 gadus, sākot no komercdarbības atbalsta piešķiršanas brīža;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119.3. aģentūra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119.4. nozares ministrija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"121.1. finansējuma saņēmējam var pieņemt līdz Komisijas regulas Nr. 2023/2831 7.panta 3.punktā noteiktajam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 Šo noteikumu ietvaros finansējuma saņēmēji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saskaņā ar Komisijas regulas Nr. 2023/2831 5. pantu, tai skaitā par vienām un tām pašām attiecināmajām izmaksām, ja pēc atbalstu apvienošanas atbalsta vienībai vai izmaksu pozīcijai attiecīgā maksimālā atbalsta intensitāte nepārsniedz 100 procentus, kā arī netiek pārsniegts Komisijas regulas Nr. 2023/2831 3. panta 2. punktā noteiktais maksimālais </w:t>
      </w:r>
      <w:r w:rsidR="00000000" w:rsidRPr="00000000" w:rsidDel="00000000">
        <w:rPr>
          <w:i w:val="1"/>
          <w:rtl w:val="0"/>
        </w:rPr>
        <w:t xml:space="preserve">de minimis</w:t>
      </w:r>
      <w:r w:rsidR="00000000" w:rsidRPr="00000000" w:rsidDel="00000000">
        <w:rPr>
          <w:rtl w:val="0"/>
        </w:rPr>
        <w:t xml:space="preserve"> atbalsta apmērs."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Pirms komercdarbības atbalsta sniegšanas saskaņā ar Komisijas regulu Nr. 2023/2831 aģentūra pārliecinās, vai </w:t>
      </w:r>
      <w:r w:rsidR="00000000" w:rsidRPr="00000000" w:rsidDel="00000000">
        <w:rPr>
          <w:i w:val="1"/>
          <w:rtl w:val="0"/>
        </w:rPr>
        <w:t xml:space="preserve">de minimis</w:t>
      </w:r>
      <w:r w:rsidR="00000000" w:rsidRPr="00000000" w:rsidDel="00000000">
        <w:rPr>
          <w:rtl w:val="0"/>
        </w:rPr>
        <w:t xml:space="preserve"> atbalsta kopsumma finansējuma saņēmējam pēdējo triju gadu periodā, skaitot no </w:t>
      </w:r>
      <w:r w:rsidR="00000000" w:rsidRPr="00000000" w:rsidDel="00000000">
        <w:rPr>
          <w:i w:val="1"/>
          <w:rtl w:val="0"/>
        </w:rPr>
        <w:t xml:space="preserve">de minimis </w:t>
      </w:r>
      <w:r w:rsidR="00000000" w:rsidRPr="00000000" w:rsidDel="00000000">
        <w:rPr>
          <w:rtl w:val="0"/>
        </w:rPr>
        <w:t xml:space="preserve">atbalsta piešķiršanas dienas, kopā ar plānoto </w:t>
      </w:r>
      <w:r w:rsidR="00000000" w:rsidRPr="00000000" w:rsidDel="00000000">
        <w:rPr>
          <w:i w:val="1"/>
          <w:rtl w:val="0"/>
        </w:rPr>
        <w:t xml:space="preserve">de minimis</w:t>
      </w:r>
      <w:r w:rsidR="00000000" w:rsidRPr="00000000" w:rsidDel="00000000">
        <w:rPr>
          <w:rtl w:val="0"/>
        </w:rPr>
        <w:t xml:space="preserve"> atbalstu nepārsniedz minētās regulas 3. panta 2. punktā noteikto </w:t>
      </w:r>
      <w:r w:rsidR="00000000" w:rsidRPr="00000000" w:rsidDel="00000000">
        <w:rPr>
          <w:i w:val="1"/>
          <w:rtl w:val="0"/>
        </w:rPr>
        <w:t xml:space="preserve">de minimis</w:t>
      </w:r>
      <w:r w:rsidR="00000000" w:rsidRPr="00000000" w:rsidDel="00000000">
        <w:rPr>
          <w:rtl w:val="0"/>
        </w:rPr>
        <w:t xml:space="preserve"> atbalsta ierobežojumu. Finansējuma limits vienam finansējuma saņēmējam tiek vērtēts viena vienota komersanta līmenī atbilstoši Komisijas regulas Nr. 2023/2831 2. panta 2. punktam. Sniedzot atbalstu sadarbības partnerim, ievēro Komisijas regulas Nr. 651/2014 1. panta 2. punkta "c" un "d" apakšpunktā, 4. punkta "a" apakšpunktā un 4. panta 1. punkta "i" apakšpunktā noteiktos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Ja tiek pārkāpti Komisijas regulas Nr. 2023/2831 nosacījumi, finansējuma saņēmējam ir pienākums atmaksāt aģentūrai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24-TA-131</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24-TA-131</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noteikumu_(grozījumu)_projekts_24-TA-131.docx</dc:title>
</cp:coreProperties>
</file>

<file path=docProps/custom.xml><?xml version="1.0" encoding="utf-8"?>
<Properties xmlns="http://schemas.openxmlformats.org/officeDocument/2006/custom-properties" xmlns:vt="http://schemas.openxmlformats.org/officeDocument/2006/docPropsVTypes"/>
</file>