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apropriācijas pārdali 2023. gadā no Centrālās vēlēšanu komisijas budžeta programmas 01.00.00 “Vispārējā vadība” 484 175 </w:t>
      </w:r>
      <w:r w:rsidR="00000000" w:rsidRPr="00000000" w:rsidDel="00000000">
        <w:rPr>
          <w:i w:val="1"/>
          <w:rtl w:val="0"/>
        </w:rPr>
        <w:t xml:space="preserve">eur</w:t>
      </w:r>
      <w:r w:rsidR="00000000" w:rsidRPr="00000000" w:rsidDel="00000000">
        <w:rPr>
          <w:rtl w:val="0"/>
        </w:rPr>
        <w:t xml:space="preserve">o apmērā, lai nodrošinātu sagatavošanos 2024.gada Eiropas Parlamenta vēlēšanām,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Iekšlietu ministrijas budžeta apakšprogrammu 11.01.00 "Pilsonības un migrācijas lietu pārvalde" 127 650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Vides aizsardzības un reģionālās attīstības ministrijas budžeta programmu 32.00.00 "Valsts reģionālās attīstības politikas īstenošana" 356 525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Centrālajai vēlēšanu komisijai, Iekšlietu ministrijai un Vides aizsardzības un reģionālās attīstības ministrijas sagatavot un normatīvajos aktos noteiktajā kārtībā iesniegt Finanšu ministrijā pieprasījumu valsts budžeta apropriācijas pārdalei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23-TA-1417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23-TA-1417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