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11. septembra noteikumos Nr. 585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11. septembra noteikumos Nr. 585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 (Latvijas Vēstnesis, 2018, 191. nr.; 2019, 166. nr.; 2020, 96. nr.; 2021, 159.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33.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 pirmo projektu iesniegumu atlases apakškārtu par šo noteikumu 48.1. un 48.2. apakšpunktā minēto individuālo ģimenes ārsta prakšu un ģimenes ārstu sadarbības prakšu attīstību izsludina par pieejamo attiecināmo finansējumu, kas nepārsniedz 4 236 613 </w:t>
      </w:r>
      <w:r w:rsidR="00000000" w:rsidRPr="00000000" w:rsidDel="00000000">
        <w:rPr>
          <w:i w:val="1"/>
          <w:rtl w:val="0"/>
        </w:rPr>
        <w:t xml:space="preserve">euro,</w:t>
      </w:r>
      <w:r w:rsidR="00000000" w:rsidRPr="00000000" w:rsidDel="00000000">
        <w:rPr>
          <w:rtl w:val="0"/>
        </w:rPr>
        <w:t xml:space="preserve"> ar projektu iesniegumu iesniegšanas termiņu, kas nav mazāks par diviem mēnešiem. Ja pirmajā projektu iesniegumu atlases apakškārtā neapstiprina projektu iesniegumus par visu specifiskā atbalsta ietvaros pieejamo finansējumu, rīko nākamo pirmās apakškārtas projektu iesniegumu atlasi par atlikušo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"58.2. otro projektu iesniegumu atlases apakškārtu par šo noteikumu 48.3. apakšpunktā minēto primārās aprūpes centru attīstības pilotprojektiem izsludina par pieejamo attiecināmo finansējumu, kas nepārsniedz 239 765 </w:t>
      </w:r>
      <w:r w:rsidR="00000000" w:rsidRPr="00000000" w:rsidDel="00000000">
        <w:rPr>
          <w:i w:val="1"/>
          <w:rtl w:val="0"/>
        </w:rPr>
        <w:t xml:space="preserve">euro,</w:t>
      </w:r>
      <w:r w:rsidR="00000000" w:rsidRPr="00000000" w:rsidDel="00000000">
        <w:rPr>
          <w:rtl w:val="0"/>
        </w:rPr>
        <w:t xml:space="preserve"> ar projektu iesniegumu iesniegšanas termiņu, kas nav mazāks par trim mēnešiem. Ja otrajā projektu iesniegumu atlases apakškārtā neapstiprina projektu iesniegumus par visu specifiskā atbalsta ietvaros pieejamo finansējumu, tad, saskaņojot ar atbildīgo iestādi, rīko nākamo otrās apakškārtas projektu iesniegumu atlasi par atlikušo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Ja tiek konstatēts Komisijas regulā Nr. 1407/2013 minēto nosacījumu pārkāpums,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Ja tiek konstatēts Komisijas 2011. gada 20. decembra Lēmuma Nr. 2012/21/ES par Līguma par Eiropas Savienības darbību 106. panta 2. punkta piemērošanu valsts atbalstam attiecībā uz kompensāciju par sabiedriskajiem pakalpojumiem dažiem uzņēmumiem, kuriem uzticēts sniegt pakalpojumus ar vispārēju tautsaimniecisku nozīmi, prasību pārkāpums šo noteikumu ietvaros īstenotā projektā, finansējuma saņēmējam ir pienākums atmaksāt sadarbības iestādei visu projekta ietvaros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22-TA-1627</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22-TA-1627</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noteikumu_(grozījumu)_projekts_22-TA-1627.docx</dc:title>
</cp:coreProperties>
</file>

<file path=docProps/custom.xml><?xml version="1.0" encoding="utf-8"?>
<Properties xmlns="http://schemas.openxmlformats.org/officeDocument/2006/custom-properties" xmlns:vt="http://schemas.openxmlformats.org/officeDocument/2006/docPropsVTypes"/>
</file>