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27. jūlijā (prot. Nr. 39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militāri patriotiskajām organizācijām projektu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saglabātu militārās vēstures liecības un veicinātu jaunatnes patriotisko audzināšanu, Aizsardzības ministrijai 2026. gadā no budžeta programmas 34.00.00 "Jaunsardzes centrs", pamatojoties uz likuma "Par valsts budžetu 2026. gadam un budžeta ietvaru 2026., 2027. un 2028. gadam" 48. pantu, piešķirt finansējumu 106 085 </w:t>
      </w:r>
      <w:r w:rsidR="00000000" w:rsidRPr="00000000" w:rsidDel="00000000">
        <w:rPr>
          <w:i w:val="1"/>
          <w:rtl w:val="0"/>
        </w:rPr>
        <w:t xml:space="preserve">euro</w:t>
      </w:r>
      <w:r w:rsidR="00000000" w:rsidRPr="00000000" w:rsidDel="00000000">
        <w:rPr>
          <w:rtl w:val="0"/>
        </w:rPr>
        <w:t xml:space="preserve"> apmērā projektu īstenošanai šādām biedrībām: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biedrībai "Latviešu strēlnieku apvienība" – 9 880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biedrībai "Latvijas Nacionālo partizānu apvienība" – 41 800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biedrībai "Latvijas Rezerves virsnieku asociācija" – 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biedrībai "Latvijas Nacionālo karavīru biedrība" – 22 000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biedrībai "Latvijas Rezerves virsnieku asociācija" – 8 366</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latviešu karavīru piemiņas biedrībai "Lestene" projekta īstenošanai sadarbībā ar biedrību "Latviešu virsnieku apvienība" un biedrību "Latvijas Nacionālo karavīru biedrība" – 9 327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biedrībai "Latvijas Nacionālo partizānu apvienība" projekta īstenošanai sadarbībā ar biedrību "Latviešu karavīrs" un biedrību "Latvijas Nacionālo karavīru biedrība":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3 352 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3 860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noslēgt vienošanos ar šā rīkojuma 1. punktā minētajām biedrībām, paredzot piešķirto līdzekļu izlietojuma kontroli un nosakot, ka par grāmatvedības datu pareizību un finanšu līdzekļu izlietojumu atbilstoši plānotajam ir atbildīgas šā rīkojuma 1. punktā minētās biedrības.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26-TA-1024</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26-TA-1024</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rīkojuma_projekts_26-TA-1024.docx</dc:title>
</cp:coreProperties>
</file>

<file path=docProps/custom.xml><?xml version="1.0" encoding="utf-8"?>
<Properties xmlns="http://schemas.openxmlformats.org/officeDocument/2006/custom-properties" xmlns:vt="http://schemas.openxmlformats.org/officeDocument/2006/docPropsVTypes"/>
</file>