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Bīstamās vielas un to kvalificējošie daudzumi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Bīstamo vielu kvalificējošie daudzumi, kas noteikti šā pielikuma  1. tabulā, attiecas uz vielām, kas atbilst šajā tabulā norādītajām bīstamības  kategorijām, kas noteiktas regulā Nr. 1272/2008.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bīstamā viela atbilst šā pielikuma 1. tabulā norādītajai bīstamo vielu  kategorijai un attiecīgā viela vai maisījums norādīts arī šā pielikuma  2. tabulā, piemēro 2. tabulā norādītos kvalificējošos daudzumus.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Bīstamo vielu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263"/>
        <w:gridCol w:w="6263"/>
        <w:gridCol w:w="3197"/>
        <w:gridCol w:w="3197"/>
        <w:tblGridChange w:id="0">
          <w:tblGrid>
            <w:gridCol w:w="6263"/>
            <w:gridCol w:w="6263"/>
            <w:gridCol w:w="3197"/>
            <w:gridCol w:w="3197"/>
          </w:tblGrid>
        </w:tblGridChange>
      </w:tblGrid>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Bīstamības kategorijas saskaņā ar regulu  								Nr. 1272/2008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Bīstamo vielu kvalificējošais daudzums (tonnās),  								lai piemērotu</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prasības, kas attiecas uz zemāka riska līmeņa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prasības, kas attiecas uz augstāka riska līmeņa  								objektiem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aile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iedaļa. Bīstamība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kategorija, visi iedarbības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kategorija, visi iedarbības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iedarbības ceļš ieelpojot</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Toksiska ietekme uz  								konkrētiem mērķorgāniem (STOT) – vienreizēja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STOT SE 1.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iedaļa. Fizikālā bīstamība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Sprādzienbīstami  								materiāli</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nestabili sprādzienbīstami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sprādzienbīstami materiāli, kas iekļauti  								regulas Nr. 1272/2008 I pielikuma 2.1.2. daļas 								</w:t>
            </w:r>
            <w:r w:rsidR="00000000" w:rsidRPr="00000000" w:rsidDel="00000000">
              <w:rPr>
                <w:i w:val="1"/>
                <w:rtl w:val="0"/>
              </w:rPr>
              <w:t xml:space="preserve">Klasificēšanas kritēriji</w:t>
            </w:r>
            <w:r w:rsidR="00000000" w:rsidRPr="00000000" w:rsidDel="00000000">
              <w:rPr>
                <w:rtl w:val="0"/>
              </w:rPr>
              <w:t xml:space="preserve"> norādītajām  								1.1., 1.2., 1.3., 1.5. vai 1.6. apakšgrupām;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kas ir sprādzienbīstami  								saskaņā ar Komisijas 2008. gada 30. maija Regulu  								(EK) Nr. 440/2008 par testēšanas metožu  								noteikšanu saskaņā ar Eiropas Parlamenta un  								Padomes Regulu (EK) Nr. 1907/2006, kas attiecas  								uz ķimikāliju reģistrēšanu, vērtēšanu,  								licencēšanu un ierobežošanu (REACH) A.14 metodi</w:t>
            </w:r>
            <w:r w:rsidR="00000000" w:rsidRPr="00000000" w:rsidDel="00000000">
              <w:rPr>
                <w:vertAlign w:val="superscript"/>
                <w:rtl w:val="0"/>
              </w:rPr>
              <w:t xml:space="preserve">3</w:t>
            </w:r>
            <w:r w:rsidR="00000000" w:rsidRPr="00000000" w:rsidDel="00000000">
              <w:rPr>
                <w:rtl w:val="0"/>
              </w:rPr>
              <w:t xml:space="preserve">  								un neietilpst organisko peroksīdu vai  								pašreaģējošu vielu un maisījumu kategorijā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Sprādzienbīstami  								materiāli</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Sprāgstvielas, regulas  								Nr. 1272/2012 I pielikuma 2.1.2. daļas </w:t>
            </w:r>
            <w:r w:rsidR="00000000" w:rsidRPr="00000000" w:rsidDel="00000000">
              <w:rPr>
                <w:i w:val="1"/>
                <w:rtl w:val="0"/>
              </w:rPr>
              <w:t xml:space="preserve"> 								Klasificēšanas kritēriji</w:t>
            </w:r>
            <w:r w:rsidR="00000000" w:rsidRPr="00000000" w:rsidDel="00000000">
              <w:rPr>
                <w:rtl w:val="0"/>
              </w:rPr>
              <w:t xml:space="preserve"> 1.4. apakšgrupa</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Uzliesmojošas gāzes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Uzliesmojošas gāzes, 1. vai 2.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P3a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aerosoli</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2. kategorijas uzliesmojoši aerosoli,  								kuru sastāvā ir 1. vai 2. kategorijas  								uzliesmojošas gāzes vai 1. kategorijas  								uzliesmojoši šķidrumi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(neto)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(neto)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P3b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aerosoli</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2. kategorijas uzliesmojoši aerosoli,  								kuru sastāvā nav 1. vai 2. kategorijas  								uzliesmojošas gāzes vai 1. kategorijas  								uzliesmojoši šķidrumi, un to var dokumentāri  								pierādīt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 (neto)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50 000 (neto)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Oksidējošas gāzes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Oksidējošas gāzes, 1.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kategorijas 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vai 3. kategorijas uzliesmojoši šķidrumi,  								kas uzglabāti temperatūrā, kas ir augstāka par  								to viršanas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šķidrumi ar uzliesmošanas temperatūru  								≤ 60 °C, ko uzglabā temperatūrā, kas ir augstāka  								par to viršanas temperatūru</w:t>
            </w:r>
            <w:r w:rsidR="00000000" w:rsidRPr="00000000" w:rsidDel="00000000">
              <w:rPr>
                <w:vertAlign w:val="superscript"/>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 3. kategorijas uzliesmojoši  								šķidrumi, kuri īpašos apstākļos, piemēram, ja ir  								augsts spiediens vai augsta temperatūra, var  								izraisīt vai palielināt rūpniecisko avāriju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šķidrumi ar uzliesmošanas temperatūru  								≤ 60 °C, kuri īpašos apstākļos, piemēram, ja ir  								augsts spiediens vai augsta temperatūra, var  								izraisīt vai palielināt rūpniecisko avāriju  								risku</w:t>
            </w:r>
            <w:r w:rsidR="00000000" w:rsidRPr="00000000" w:rsidDel="00000000">
              <w:rPr>
                <w:vertAlign w:val="superscript"/>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 3. kategorijas uzliesmojoši  								šķidrumi, uz kuriem neattiecas P5a un P5b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P6a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Pašreaģējošas  								vielas un maisījumi un organiskie peroksīdi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veida pašreaģējošas vielas un  								maisījumi vai A vai B veida organiskie peroksīdi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P6b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Pašreaģējošas  								vielas un maisījumi un organiskie peroksīdi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 E vai F veida pašreaģējošas vielas un  								maisījumi vai C, D, E vai F veida organiskie  								peroksīdi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Pirofori šķidrumi  								un cietvielas: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kategorijas pirofori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kategorijas piroforas cietvielas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Oksidējoši šķidrumi  								un cietvielas: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vai 3. kategorijas oksidējoši  								šķidrumi;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vai 3. kategorijas oksidējošas  								cietvielas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  								iedaļa. Bīstamība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videi bīstama  								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toksicitātes 1. kategorija vai  								hroniskas toksicitātes 1.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videi bīstama  								viela,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toksicitātes 2.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iedaļa. Cita bīstamība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ar bīstamības apzīmējumu EUH014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kas saskarē ar ūdeni izdala  								uzliesmojošas gāzes, 1.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ar bīstamības apzīmējumu EUH029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Bīstamās vielas, kas iekļautas akūtas toksicitātes 3. kategorijā H301  (toksisks, ja norīts), pieskaita pie H2 akūtas toksicitātes kategorijas, ja tās  nav iespējams klasificēt kā akūti toksiskas iedarbībā caur ādu vai ieelpojot,  tādēļ ka trūkst nepieciešamo datu par toksiskumu ieelpojot vai toksiskumu  iedarbībā caur 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Sprādzienbīstamo materiālu kategorijā ir ietverti arī sprādzienbīstami  izstrādājumi atbilstoši regulas Nr. 1272/2008 I pielikuma 2.1. sadaļai. Ja ir  zināms sprādzienbīstamas vielas vai maisījuma daudzums šādā izstrādājumā, to ņem  vērā. Ja nav zināms sprādzienbīstamas vielas vai maisījuma daudzums šādā  izstrādājumā, viss izstrādājums ir uzskatāms par sprādzienbīstamu izstrādājumu.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Vielu un maisījumu sprādzienbīstamības testēšana ir nepieciešama tikai  tad, ja saskaņā ar Apvienoto Nāciju Organizācijas (ANO) Rekomendāciju par  bīstamu kravu pārvadājumiem Testēšanas un kritēriju rokasgrāmatas (ANO  Testēšanas un kritēriju rokasgrāmata) 6. papildinājuma III daļā norādītajām  procedūrām tiek konstatēts, ka vielai vai maisījumam ir iespējamas  sprādzienbīstamas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1.4. apakšgrupas sprāgstvielas izpako vai iepako atkārtoti, uz tām  attiecas ieraksts P1a, ja vien bīstamība nav norādīta atbilstoši  1.4. apakšgrupai, kā paredzēts regulā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Uzliesmojošus aerosolus klasificē saskaņā ar normatīvajiem aktiem par  būtiskām prasībām aerosola flakoniem un to marķēšanai un klasificēšanai. Šajā  normatīvajā aktā minētie īpaši viegli uzliesmojoši un uzliesmojoši aerosoli  atbilst attiecīgi regulas Nr. 1272/2008 1. vai 2. kategorijas uzliesmojošiem  aerosoliem.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Saskaņā ar regulas Nr. 1272/2008 I pielikuma 2.6.4.5. punktu šķidrumi,  kuru uzliesmošanas temperatūra ir augstāka par 35 °C, nav klasificējami  3. kategorijā, ja ir iegūti negatīvi rezultāti ilgstošas degšanas pārbaudē  (Apvienoto Nāciju Organizācijas (ANO) Rekomendāciju par bīstamu kravu  pārvadājumiem Testēšanas un kritēriju rokasgrāmatas III daļas 32. iedaļa, L.2).  Šis nosacījums neattiecas uz paaugstinātas temperatūras vai augsta spiediena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Kvalificējošie daudzumi bīstamām vielām un bīstamo vielu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1472"/>
        <w:gridCol w:w="3005"/>
        <w:gridCol w:w="3005"/>
        <w:tblGridChange w:id="0">
          <w:tblGrid>
            <w:gridCol w:w="706"/>
            <w:gridCol w:w="4155"/>
            <w:gridCol w:w="1472"/>
            <w:gridCol w:w="3005"/>
            <w:gridCol w:w="3005"/>
          </w:tblGrid>
        </w:tblGridChange>
      </w:tblGrid>
      <w:tr>
        <w:tc>
          <w:tcPr>
            <w:shd w:fill="ffffff"/>
            <w:vAlign w:val="center"/>
            <w:trHeight w="exact" w:val="43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 </w:t>
            </w:r>
            <w:r>
              <w:br/>
            </w:r>
            <w:r w:rsidR="00000000" w:rsidRPr="00000000" w:rsidDel="00000000">
              <w:rPr>
                <w:rtl w:val="0"/>
              </w:rPr>
              <w:t xml:space="preserve"> 								p. k.</w:t>
            </w:r>
          </w:p>
        </w:tc>
        <w:tc>
          <w:tcPr>
            <w:shd w:fill="ffffff"/>
            <w:vAlign w:val="center"/>
            <w:trHeight w="exact" w:val="43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Bīstamās vielas un bīstamo vielu grupas</w:t>
            </w:r>
          </w:p>
        </w:tc>
        <w:tc>
          <w:tcPr>
            <w:shd w:fill="ffffff"/>
            <w:vAlign w:val="center"/>
            <w:trHeight w="exact" w:val="43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CAS numurs</w:t>
            </w:r>
            <w:r w:rsidR="00000000" w:rsidRPr="00000000" w:rsidDel="00000000">
              <w:rPr>
                <w:vertAlign w:val="superscript"/>
                <w:rtl w:val="0"/>
              </w:rPr>
              <w:t xml:space="preserve">1</w:t>
            </w:r>
          </w:p>
        </w:tc>
        <w:tc>
          <w:tcPr>
            <w:shd w:fill="ffffff"/>
            <w:vAlign w:val="center"/>
            <w:trHeight w="exact" w:val="43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Bīstamo vielu kvalificējošais daudzums (tonnās),  								lai piemērotu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kas  								attiecas uz zemāka riska līmeņa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kas  								attiecas uz augstāka riska līmeņa objektiem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aile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aile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nitrātu  								saturošs kompleksais mēslojums, kas satur arī  								fosfātus vai kāliju, vai abus un kas var  								pašsadalīties</w:t>
            </w:r>
            <w:r w:rsidR="00000000" w:rsidRPr="00000000" w:rsidDel="00000000">
              <w:rPr>
                <w:vertAlign w:val="superscript"/>
                <w:rtl w:val="0"/>
              </w:rPr>
              <w:t xml:space="preserve">2</w:t>
            </w:r>
            <w:r w:rsidR="00000000" w:rsidRPr="00000000" w:rsidDel="00000000">
              <w:rPr>
                <w:rtl w:val="0"/>
              </w:rPr>
              <w:t xml:space="preserve">, ja tajā amonija  								nitrāta nodrošinātais slāpekļa saturs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15,75 masas %</w:t>
            </w:r>
            <w:r w:rsidR="00000000" w:rsidRPr="00000000" w:rsidDel="00000000">
              <w:rPr>
                <w:vertAlign w:val="superscript"/>
                <w:rtl w:val="0"/>
              </w:rPr>
              <w:t xml:space="preserve">3</w:t>
            </w:r>
            <w:r w:rsidR="00000000" w:rsidRPr="00000000" w:rsidDel="00000000">
              <w:rPr>
                <w:rtl w:val="0"/>
              </w:rPr>
              <w:t xml:space="preserve"> līdz 24,5 masas %</w:t>
            </w:r>
            <w:r w:rsidR="00000000" w:rsidRPr="00000000" w:rsidDel="00000000">
              <w:rPr>
                <w:vertAlign w:val="superscript"/>
                <w:rtl w:val="0"/>
              </w:rPr>
              <w:t xml:space="preserve">4</w:t>
            </w:r>
            <w:r w:rsidR="00000000" w:rsidRPr="00000000" w:rsidDel="00000000">
              <w:rPr>
                <w:rtl w:val="0"/>
              </w:rPr>
              <w:t xml:space="preserve">  								no kompleksā mēslojuma, bet kopējais degošo vai  								organisko vielu saturs ir mazāks vai vienāds ar  								0,4 % vai šis kompleksais mēslojums atbilst  								Eiropas Parlamenta un Padomes 2003. gada  								13. oktobra Regulas (EK) Nr. 2003/2003 par  								mēslošanas līdzekļiem (turpmāk – regula  								Nr. 2003/2003) III pielikuma 2. iedaļā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mazāks vai vienāds ar 15,75 masas %</w:t>
            </w:r>
            <w:r w:rsidR="00000000" w:rsidRPr="00000000" w:rsidDel="00000000">
              <w:rPr>
                <w:vertAlign w:val="superscript"/>
                <w:rtl w:val="0"/>
              </w:rPr>
              <w:t xml:space="preserve">5</w:t>
            </w:r>
            <w:r w:rsidR="00000000" w:rsidRPr="00000000" w:rsidDel="00000000">
              <w:rPr>
                <w:rtl w:val="0"/>
              </w:rPr>
              <w:t xml:space="preserve">  								no kompleksā mēslojuma, bet degošo vielu saturs  								nav ierobežots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nitrātu  								saturošs mēslojums, kas atbilst regulas Nr.  								2003/2003 III pielikuma 2. iedaļā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tikai amonija nitrātu saturošs  								mēslojums;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kompleksais amonija nitrāta mēslojums, kurā  								amonija nitrāta nodrošinātais slāpekļa daudzums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vairāk nekā 24,5 masas % no kompleksā  								amonija nitrāta mēslojuma, izņemot amonija  								nitrāta maisījumus ar dolomītiem, kaļķakmeni  								un/vai kalcija karbonātu, ar tīrības pakāpi  								vismaz 90 %;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vairāk nekā 15,75 masas % no kompleksā  								amonija nitrāta mēslojuma, ja tas ir amonija  								nitrāta un amonija sulfāta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vairāk nekā 28 masas %</w:t>
            </w:r>
            <w:r w:rsidR="00000000" w:rsidRPr="00000000" w:rsidDel="00000000">
              <w:rPr>
                <w:vertAlign w:val="superscript"/>
                <w:rtl w:val="0"/>
              </w:rPr>
              <w:t xml:space="preserve">6</w:t>
            </w:r>
            <w:r w:rsidR="00000000" w:rsidRPr="00000000" w:rsidDel="00000000">
              <w:rPr>
                <w:rtl w:val="0"/>
              </w:rPr>
              <w:t xml:space="preserve"> no  								kompleksā amonija nitrāta mēslojuma, ja tas ir  								amonija nitrāta maisījums ar dolomītu,  								kaļķakmeni un/vai kalcija karbonātu, ar tīrības  								pakāpi vismaz 90 %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un  								maisījumi, kas satur amonija nitrātu un kuros  								amonija nitrāta nodrošinātais slāpekļa saturs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24,5 masas % līdz 28 masas % no  								maisījuma un kas satur ne vairāk kā 0,4 % degošu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vairāk nekā 28 masas % no maisījuma un kas  								satur ne vairāk kā 0,2 % degošu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amonija nitrāta ūdens šķīdumi, kuros  								amonija nitrāta koncentrācija ir vairāk nekā 80  								masas % no šī šķīduma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nitrātu  								saturoši specifikācijai neatbilstoši ražojumi un  								mēslošanas līdzekļi, kas nav izturējuši  								detonācijas pārbaudi,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ražošanas  								gaitā izbrāķētas izejvielas, produkti,  								palīgmateriāli, starpprodukti vai izstrādājumi;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maisījumi, kuri satur amonija nitrātu,  								amonija nitrāts, kompleksais amonija nitrāta  								mēslojums un amonija nitrātu saturoši mēslošanas  								līdzekļi (kuros nav citu pamatsastāvdaļu), ja  								tos kā neatbilstošus šīs tabulas 2. un 3. punktā  								norādītajiem nosacījumiem lietotājs nogādā vai  								nosūta atpakaļ ražotājam, atdod pagaidu  								uzglabāšanai vai nodod utilizācijai, otrreizējai  								pārstrādei vai apstrādei, lai to turpmāka  								izmantošana būtu droša;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šīs tabulas 1. punkta pirmajā atkāpē un  								2. punktā norādītie mēslošanas līdzekļi, kas  								neatbilst regulas Nr. 2003/2003 III pielikuma  								2. iedaļā noteiktajām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Kompleksais kālija  								nitrāta mēslojums mikrogranulu un granulu veidā  								un kam ir tāda pati bīstamības kategorija kā  								tīram kālija nitrātam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Kompleksais kālija  								nitrāta mēslojums kristāliskā veidā un kam ir  								tāda pati bīstamības kategorija kā tīram kālija  								nitrātam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Arsēna pentoksīds,  								arsēnskābe un tās sāļi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Arsēna trioksīds,  								arsēnpaskābe un tās sāļi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1327-53-3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7726-95-6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7782-50-5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Niķeļa savienojumi  								ieelpojama pulvera veidā: niķeļa monoksīds,  								niķeļa dioksīds, niķeļa sulfīds, trīsvērtīgā  								niķeļa disulfīds, divvērtīgā niķeļa trioksīds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Etilēnimīns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7782-41-4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  								(koncentrācija ≥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1333-74-0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Hlorūdeņradis  								(sašķidrināta gāze)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7647-01-0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alkilsavienojumi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2.  								kategorijas sašķidrinātas uzliesmojošās gāzes  								(tostarp sašķidrināta naftas gāze (</w:t>
            </w:r>
            <w:r w:rsidR="00000000" w:rsidRPr="00000000" w:rsidDel="00000000">
              <w:rPr>
                <w:i w:val="1"/>
                <w:rtl w:val="0"/>
              </w:rPr>
              <w:t xml:space="preserve">sašķidrinātu  								ogļūdeņražu maisījums, kas iegūts naftas  								pārstrādes rezultātā</w:t>
            </w:r>
            <w:r w:rsidR="00000000" w:rsidRPr="00000000" w:rsidDel="00000000">
              <w:rPr>
                <w:rtl w:val="0"/>
              </w:rPr>
              <w:t xml:space="preserve">)) un dabasgāze</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Acetilēns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74-86-2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Etilēnoksīds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Propilēnoksīds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75-56-9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4,4′-metilēnbis(2-hloranilīns) un tā sāļi,  								pulverveidā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Metilizocianāts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7782-44-7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2,4-toluoldiizocianāts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2,6-toluoldiizocianāts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584-84-9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91-08-7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Karbonildihlorīds  								(fosgēns)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Arsīns  								(arsēntrihidrīds)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7784-42-1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Fosfīns (ūdeņraža  								fosfīds)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7803-51-2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Sēra dihlorīds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10545-99-0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Sēra trioksīds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7446-11-9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Polihlordibenzofurāni un polihlordibenzodioksīni</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Kancerogēnas vielas  								vai maisījumi, kas satur vairāk nekā 5 masas %  								vienu vai vairākas šādas kancerogēnas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- 4-aminobifenils un tā sāļi;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benztrihlorīds;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benzidīns un tā sāļi;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bis(hlormetil)ēteris;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hlormetilmetilēteris;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- 1,2-dibrometāns;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dietilsulfāts;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dimetilsulfāts;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dimetilkarbamoilhlorīds;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- 1,2-dibrom-3-hlorpropāns;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- 1,2-dimetilhidrazīns;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dimetilnitrozamīns;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heksametilfosforskābes triamīds;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hidrazīns;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- 2-naftilamīns un tā sāļi;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- 4-nitrodifenils;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- 1,3-propānsultons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produkti un  								alternatīvi degvielas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benzīni un  								ligroīni;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petrolejas (ieskaitot reaktīvo dzinēju  								degviela);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gāzeļļas (ieskaitot dīzeļdegvielu, šķidro  								krāšņu kurināmo un gāzeļļas maisījumus);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mazuts un citas smagās degvieleļļas;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alternatīvi degvielas veidi, kuri kalpo  								tiem pašiem nolūkiem un kuriem ir līdzīgas  								īpašības attiecībā uz uzliesmojamību un  								bīstamību videi kā šī punkta a) līdz d)  								apakšpunktā minētajām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7664-41-7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trifluorīds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7637-07-2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Ūdeņraža sulfīds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7783-06-4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Piperidīns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Bis(2-dimetilaminoetil)(metil)amīns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3030-47-5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3-(2-etilheksiloksi)propilamīns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5397-31-9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hipohlorīta  								maisījumi</w:t>
            </w:r>
            <w:r w:rsidR="00000000" w:rsidRPr="00000000" w:rsidDel="00000000">
              <w:rPr>
                <w:vertAlign w:val="superscript"/>
                <w:rtl w:val="0"/>
              </w:rPr>
              <w:t xml:space="preserve">9</w:t>
            </w:r>
            <w:r w:rsidR="00000000" w:rsidRPr="00000000" w:rsidDel="00000000">
              <w:rPr>
                <w:rtl w:val="0"/>
              </w:rPr>
              <w:t xml:space="preserve">, kas klasificēti kā  								1. kategorijas akūti toksiski ūdens organismiem  								[H400] un satur mazāk nekā 5 % aktīvā hlora, un  								nav iekļauti citās šā pielikuma 1. tabulā  								minētajās bīstamības kategorijās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Propilamīns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Terc-butilakrilāts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1663-39-4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2-metilbut-3-butēnnitrils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16529-56-9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3,5-dimetil-1,3,5,2H-tetrahidrotiadiazīn-2-tions 								</w:t>
            </w:r>
            <w:r>
              <w:br/>
            </w:r>
            <w:r w:rsidR="00000000" w:rsidRPr="00000000" w:rsidDel="00000000">
              <w:rPr>
                <w:rtl w:val="0"/>
              </w:rPr>
              <w:t xml:space="preserve"> 								(dazomets)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533-74-4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Metilakrilāts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3-metilpiridīns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1-brom-3-hlorpropāns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109-70-6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vielas numurs ķīmisko vielu reģistrā </w:t>
      </w:r>
      <w:r w:rsidR="00000000" w:rsidRPr="00000000" w:rsidDel="00000000">
        <w:rPr>
          <w:i w:val="1"/>
          <w:rtl w:val="0"/>
        </w:rPr>
        <w:t xml:space="preserve">Chemical Abstracts  Service</w:t>
      </w:r>
      <w:r w:rsidR="00000000" w:rsidRPr="00000000" w:rsidDel="00000000">
        <w:rPr>
          <w:rtl w:val="0"/>
        </w:rPr>
        <w:t xml:space="preserve"> (CAS numurs) dots tikai kā norāde.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Amonija nitrātu saturošu mēslošanas līdzekļu vai kompleksā mēslojuma spēju  pašsadalīties nosaka ar ANO Notecējumu pārbaudi, kas aprakstīta Apvienoto Nāciju  Organizācijas (ANO) Rekomendāciju par bīstamu kravu pārvadājumiem Testēšanas un  kritēriju rokasgrāmatas III daļas 38.2.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Slāpekļa saturs 15,75 % (masas procentos) atbilst 45 % amonija nitrāta no  attiecīgā mēslošanas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Slāpekļa saturs 24,5 % (masas procentos) atbilst 70 % amonija nitrāta no  attiecīgā mēslošanas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Slāpekļa saturs 15,75 % (masas procentos) atbilst 45 masas % amonija  nitrāta no attiecīgā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Slāpekļa saturs 28 % (masas procentos) atbilst 80 masas % amonija nitrāta  no attiecīgā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Šajā sadaļā var iekļaut arī attīrītu biogāzi, ja tā apstrādāta saskaņā ar  standartiem, kas tiek piemēroti attīrītas un uzlabotas biogāzes ieguvē,  nodrošinot dabasgāzes kvalitātei līdzvērtīgu kvalitāti, tostarp līdzvērtīgu  metāna saturu un ne vairāk kā 1 % skābekļa.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Lai noteiktu polihlordibenzofurānu un polihlordibenzodioksīnu maksimālos  daudzumus, katrai polihlordibenzodioksīnu vai polihlordibenzofurānu grupai lieto  šādus starptautiskos toksiskā ekvivalenta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2,3,7,8-THDD (2,3,7,8-tetrahlordibenzodioksīniem)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1,2,3,7,8-PeCDD (1,2,3,7,8-pentahlordibenzodioksīniem)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1,2,3,4,7,8-HxHDD (1,2,3,4,7,8-heksahlordibenzodioksīniem)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1,2,3,6,7,8-HxHDD (1,2,3,6,7,8-heksahlordibenzodioksīniem)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1,2,3,7,8,9-HxHDD (1,2,3,7,8,9-heksahlordibenzodioksīniem)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1,2,3,4,6,7,8-HpHDD (1,2,3,4,6,7,8-heptahlordibenzodioksīniem) – 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OHDD (oktahlordibenzodioksīniem) – 0,0003;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2,3,7,8-THDF (2,3,7,8-tetrahlordibenzofurāniem)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2,3,4,7,8-PeHDF (2,3,4,7,8-pentahlordibenzofurāniem) –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1,2,3,7,8-PeHDF (1,2,3,7,8-pentahlordibenzofurāniem) – 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1,2,3,4,7,8-HxHDF (1,2,3,4,7,8-heksahlordibenzofurāniem)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1,2,3,7,8,9-HxHDF (1,2,3,7,8,9-heksahlordibenzofurāniem)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1,2,3,6,7,8-HxHDF (1,2,3,6,7,8-heksahlordibenzofurāniem)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2,3,4,6,7,8-HxHDF (2,3,4,6,7,8-heksahlordibenzofurāniem)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1,2,3,4,6,7,8-HpHDF (1,2,3,4,6,7,8-heptahlordibenzofurāniem) – 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1,2,3,4,7,8,9-HpHDF (1,2,3,4,7,8,9-heptahlordibenzofurāniem) – 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  OHDF (oktahlordibenzofurāniem) – 0,0003.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Maksimālo polihlordibenzofurānu un polihlordibenzodioksīnu daudzumu objektā  iegūst, polihlordibenzofurānu vai polihlordibenzodioksīnu daudzumus reizinot ar  šajā punktā minētajiem koeficientiem un iegūtos rezultātus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Ar nosacījumu, ka maisījums, kura sastāvā nav nātrija hipohlorīta, netiek  klasificēts kā 1. kategorijas akūti toksisks ūdens organismiem [H400].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šī bīstamā viela ir iekļauta P5a vai P5b kategorijā "Uzliesmojoši  šķidrumi", piemēro mazāko kvalificējošo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Bīstamās vielas un maisījumus klasificē saskaņā ar regulu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Maisījums, kas satur bīstamās ķīmiskās vielas, ir bīstams, ja bīstamās  ķīmiskās vielas koncentrācija tajā nav mazāka par regulā Nr. 1272/2008 noteikto  koncentrāciju. Rīkojoties ar šo maisījumu, ievēro tādas pašas prasības, kā  rīkojoties ar attiecīgo bīstamo ķīmisko vielu, ja regulā Nr. 1272/2008 šim  maisījuma procentuālajam sastāvam nav norādīts cits bīstamības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Kvalificējošie daudzumi attiecas uz katru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Nosakot bīstamo vielu maksimālo daudzumu vai aprēķinot bīstamo vielu  daudzuma kritēriju, ņem vērā tās bīstamās vielas, kas vienlaikus ir vai var būt  objektā vai visās objekta iekārtās, kas atrodas vienā teritorijā,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ir 2 % no attiecīgās vielas mazākā kvalificējošā daudzuma vai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mazāk par 2 % no attiecīgās vielas mazākā kvalificējošā daudzuma, ja  bīstamās vielas izvietojums objektā ir tāds, ka tā var būt par rūpnieciskās  avārijas ierosinātāju.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Bīstamo vielu daudzuma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 </w:t>
      </w:r>
      <w:r w:rsidR="00000000" w:rsidRPr="00000000" w:rsidDel="00000000">
        <w:rPr>
          <w:vertAlign w:val="subscript"/>
          <w:rtl w:val="0"/>
        </w:rPr>
        <w:t xml:space="preserve">kopējais</w:t>
      </w:r>
      <w:r w:rsidR="00000000" w:rsidRPr="00000000" w:rsidDel="00000000">
        <w:rPr>
          <w:rtl w:val="0"/>
        </w:rPr>
        <w:t xml:space="preserve"> = q</w:t>
      </w:r>
      <w:r w:rsidR="00000000" w:rsidRPr="00000000" w:rsidDel="00000000">
        <w:rPr>
          <w:vertAlign w:val="subscript"/>
          <w:rtl w:val="0"/>
        </w:rPr>
        <w:t xml:space="preserve">1</w:t>
      </w:r>
      <w:r w:rsidR="00000000" w:rsidRPr="00000000" w:rsidDel="00000000">
        <w:rPr>
          <w:rtl w:val="0"/>
        </w:rPr>
        <w:t xml:space="preserve">/Q</w:t>
      </w:r>
      <w:r w:rsidR="00000000" w:rsidRPr="00000000" w:rsidDel="00000000">
        <w:rPr>
          <w:vertAlign w:val="subscript"/>
          <w:rtl w:val="0"/>
        </w:rPr>
        <w:t xml:space="preserve">1</w:t>
      </w:r>
      <w:r w:rsidR="00000000" w:rsidRPr="00000000" w:rsidDel="00000000">
        <w:rPr>
          <w:rtl w:val="0"/>
        </w:rPr>
        <w:t xml:space="preserve"> + q</w:t>
      </w:r>
      <w:r w:rsidR="00000000" w:rsidRPr="00000000" w:rsidDel="00000000">
        <w:rPr>
          <w:vertAlign w:val="subscript"/>
          <w:rtl w:val="0"/>
        </w:rPr>
        <w:t xml:space="preserve">2</w:t>
      </w:r>
      <w:r w:rsidR="00000000" w:rsidRPr="00000000" w:rsidDel="00000000">
        <w:rPr>
          <w:rtl w:val="0"/>
        </w:rPr>
        <w:t xml:space="preserve">/Q</w:t>
      </w:r>
      <w:r w:rsidR="00000000" w:rsidRPr="00000000" w:rsidDel="00000000">
        <w:rPr>
          <w:vertAlign w:val="subscript"/>
          <w:rtl w:val="0"/>
        </w:rPr>
        <w:t xml:space="preserve">2</w:t>
      </w:r>
      <w:r w:rsidR="00000000" w:rsidRPr="00000000" w:rsidDel="00000000">
        <w:rPr>
          <w:rtl w:val="0"/>
        </w:rPr>
        <w:t xml:space="preserve">  + q</w:t>
      </w:r>
      <w:r w:rsidR="00000000" w:rsidRPr="00000000" w:rsidDel="00000000">
        <w:rPr>
          <w:vertAlign w:val="subscript"/>
          <w:rtl w:val="0"/>
        </w:rPr>
        <w:t xml:space="preserve">3</w:t>
      </w:r>
      <w:r w:rsidR="00000000" w:rsidRPr="00000000" w:rsidDel="00000000">
        <w:rPr>
          <w:rtl w:val="0"/>
        </w:rPr>
        <w:t xml:space="preserve">/Q</w:t>
      </w:r>
      <w:r w:rsidR="00000000" w:rsidRPr="00000000" w:rsidDel="00000000">
        <w:rPr>
          <w:vertAlign w:val="subscript"/>
          <w:rtl w:val="0"/>
        </w:rPr>
        <w:t xml:space="preserve">3</w:t>
      </w:r>
      <w:r w:rsidR="00000000" w:rsidRPr="00000000" w:rsidDel="00000000">
        <w:rPr>
          <w:rtl w:val="0"/>
        </w:rPr>
        <w:t xml:space="preserve"> + ... + q</w:t>
      </w:r>
      <w:r w:rsidR="00000000" w:rsidRPr="00000000" w:rsidDel="00000000">
        <w:rPr>
          <w:vertAlign w:val="subscript"/>
          <w:rtl w:val="0"/>
        </w:rPr>
        <w:t xml:space="preserve">n</w:t>
      </w:r>
      <w:r w:rsidR="00000000" w:rsidRPr="00000000" w:rsidDel="00000000">
        <w:rPr>
          <w:rtl w:val="0"/>
        </w:rPr>
        <w:t xml:space="preserve">/Q</w:t>
      </w:r>
      <w:r w:rsidR="00000000" w:rsidRPr="00000000" w:rsidDel="00000000">
        <w:rPr>
          <w:vertAlign w:val="subscript"/>
          <w:rtl w:val="0"/>
        </w:rPr>
        <w:t xml:space="preserve">n</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w:t>
      </w:r>
      <w:r w:rsidR="00000000" w:rsidRPr="00000000" w:rsidDel="00000000">
        <w:rPr>
          <w:vertAlign w:val="subscript"/>
          <w:rtl w:val="0"/>
        </w:rPr>
        <w:t xml:space="preserve">kopējais</w:t>
      </w:r>
      <w:r w:rsidR="00000000" w:rsidRPr="00000000" w:rsidDel="00000000">
        <w:rPr>
          <w:rtl w:val="0"/>
        </w:rPr>
        <w:t xml:space="preserve"> – bīstamo vielu daudzuma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i</w:t>
      </w:r>
      <w:r w:rsidR="00000000" w:rsidRPr="00000000" w:rsidDel="00000000">
        <w:rPr>
          <w:rtl w:val="0"/>
        </w:rPr>
        <w:t xml:space="preserve"> (q</w:t>
      </w:r>
      <w:r w:rsidR="00000000" w:rsidRPr="00000000" w:rsidDel="00000000">
        <w:rPr>
          <w:vertAlign w:val="subscript"/>
          <w:rtl w:val="0"/>
        </w:rPr>
        <w:t xml:space="preserve">1</w:t>
      </w:r>
      <w:r w:rsidR="00000000" w:rsidRPr="00000000" w:rsidDel="00000000">
        <w:rPr>
          <w:rtl w:val="0"/>
        </w:rPr>
        <w:t xml:space="preserve">, q</w:t>
      </w:r>
      <w:r w:rsidR="00000000" w:rsidRPr="00000000" w:rsidDel="00000000">
        <w:rPr>
          <w:vertAlign w:val="subscript"/>
          <w:rtl w:val="0"/>
        </w:rPr>
        <w:t xml:space="preserve">2</w:t>
      </w:r>
      <w:r w:rsidR="00000000" w:rsidRPr="00000000" w:rsidDel="00000000">
        <w:rPr>
          <w:rtl w:val="0"/>
        </w:rPr>
        <w:t xml:space="preserve">, q</w:t>
      </w:r>
      <w:r w:rsidR="00000000" w:rsidRPr="00000000" w:rsidDel="00000000">
        <w:rPr>
          <w:vertAlign w:val="subscript"/>
          <w:rtl w:val="0"/>
        </w:rPr>
        <w:t xml:space="preserve">3</w:t>
      </w:r>
      <w:r w:rsidR="00000000" w:rsidRPr="00000000" w:rsidDel="00000000">
        <w:rPr>
          <w:rtl w:val="0"/>
        </w:rPr>
        <w:t xml:space="preserve"> ... q</w:t>
      </w:r>
      <w:r w:rsidR="00000000" w:rsidRPr="00000000" w:rsidDel="00000000">
        <w:rPr>
          <w:vertAlign w:val="subscript"/>
          <w:rtl w:val="0"/>
        </w:rPr>
        <w:t xml:space="preserve">n</w:t>
      </w:r>
      <w:r w:rsidR="00000000" w:rsidRPr="00000000" w:rsidDel="00000000">
        <w:rPr>
          <w:rtl w:val="0"/>
        </w:rPr>
        <w:t xml:space="preserve">)  – maksimālais daudzums tonnās attiecīgajai šā pielikuma 2. tabulā norādītajai  bīstamajai vielai vai bīstamo vielu grupai vai šā pielikuma 1. tabulā  norādītajai bīstamības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i</w:t>
      </w:r>
      <w:r w:rsidR="00000000" w:rsidRPr="00000000" w:rsidDel="00000000">
        <w:rPr>
          <w:rtl w:val="0"/>
        </w:rPr>
        <w:t xml:space="preserve"> (Q</w:t>
      </w:r>
      <w:r w:rsidR="00000000" w:rsidRPr="00000000" w:rsidDel="00000000">
        <w:rPr>
          <w:vertAlign w:val="subscript"/>
          <w:rtl w:val="0"/>
        </w:rPr>
        <w:t xml:space="preserve">1</w:t>
      </w:r>
      <w:r w:rsidR="00000000" w:rsidRPr="00000000" w:rsidDel="00000000">
        <w:rPr>
          <w:rtl w:val="0"/>
        </w:rPr>
        <w:t xml:space="preserve">, Q</w:t>
      </w:r>
      <w:r w:rsidR="00000000" w:rsidRPr="00000000" w:rsidDel="00000000">
        <w:rPr>
          <w:vertAlign w:val="subscript"/>
          <w:rtl w:val="0"/>
        </w:rPr>
        <w:t xml:space="preserve">2</w:t>
      </w:r>
      <w:r w:rsidR="00000000" w:rsidRPr="00000000" w:rsidDel="00000000">
        <w:rPr>
          <w:rtl w:val="0"/>
        </w:rPr>
        <w:t xml:space="preserve">, Q</w:t>
      </w:r>
      <w:r w:rsidR="00000000" w:rsidRPr="00000000" w:rsidDel="00000000">
        <w:rPr>
          <w:vertAlign w:val="subscript"/>
          <w:rtl w:val="0"/>
        </w:rPr>
        <w:t xml:space="preserve">3</w:t>
      </w:r>
      <w:r w:rsidR="00000000" w:rsidRPr="00000000" w:rsidDel="00000000">
        <w:rPr>
          <w:rtl w:val="0"/>
        </w:rPr>
        <w:t xml:space="preserve"> ... Q</w:t>
      </w:r>
      <w:r w:rsidR="00000000" w:rsidRPr="00000000" w:rsidDel="00000000">
        <w:rPr>
          <w:vertAlign w:val="subscript"/>
          <w:rtl w:val="0"/>
        </w:rPr>
        <w:t xml:space="preserve">n</w:t>
      </w:r>
      <w:r w:rsidR="00000000" w:rsidRPr="00000000" w:rsidDel="00000000">
        <w:rPr>
          <w:rtl w:val="0"/>
        </w:rPr>
        <w:t xml:space="preserve">)  – attiecīgais šā pielikuma 1. vai 2. tabulā norādītais mazākais vai lielākais  kvalificējošais daudzums tonnās bīstamajai vielai, bīstamo vielu grupai vai  bīstamības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attiecīgā bīstamo vielu daudzuma kritērija aprēķinā iekļauto bīstamo  vielu, bīstamo vielu grupu vai bīstamo vielu kategoriju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bīstamo vielu daudzuma kritērijs, kas aprēķināts, lietojot mazākos  kvalificējošos daudzumus, ir lielāks par vienu vai vienāds ar to, uz objektu  attiecas šo noteikumu prasības,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ja bīstamo vielu daudzuma kritērijs, kas aprēķināts, lietojot mazākos  kvalificējošos daudzumus, ir lielāks par vienu vai vienāds ar to un bīstamo  vielu daudzuma kritērijs, kas aprēķināts, lietojot lielākos kvalificējošos  daudzumus, ir mazāks par vienu, atbildīgā persona izstrādā rūpniecisko avāriju  novēršanas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ja bīstamo vielu daudzuma kritērijs, kas aprēķināts, lietojot lielākos  kvalificējošos daudzumus, ir lielāks par vienu vai vienāds ar to, atbildīgā  persona izstrādā drošības pārskatu un objekta civilās aizsardzības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Bīstamo vielu daudzuma kritēriju izmanto, novērtējot vispārējo  apdraudējumu, kas saistīts ar bīstamību veselībai, fizikālo bīstamību un  bīstamību videi. Bīstamo vielu daudzuma kritēriju nosaka trīs reizes – atsevišķi  novērtējot bīstamību veselībai, fizikālo bīstamību un bīstamību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Bīstamo vielu daudzuma kritēriju aprēķina kopā šādām bīstamām vielām,  kuras ir vai var būt objektā vai visās objekta iekārtās, kas atrodas vienā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šā pielikuma 2. tabulā norādītajām vielām un maisījumiem, kas saskaņā  ar klasifikāciju ir 1., 2. un 3. kategorijas (ieelpojot) akūtas toksicitātes vai  1. kategorijas STOT SE, kā arī bīstamām vielām, kas atbilst 1. tabulas  "H" iedaļai (ieraksti H1 līdz H3);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šā pielikuma 2. tabulā norādītajām vielām un maisījumiem, kas saskaņā  ar klasifikāciju ir sprāgstvielas, uzliesmojošas gāzes, uzliesmojoši aerosoli,  oksidējošas gāzes, uzliesmojoši šķidrumi, pašreaģējošas vielas un maisījumi,  organiskie peroksīdi, pirofori šķidrumi un cietvielas, oksidējoši šķidrumi un  cietvielas, kā arī vielām, kas atbilst šā pielikuma 1. tabulas "P" iedaļai (P1  līdz P8 ieraksts);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šā pielikuma 2. tabulā norādītajām vielām un maisījumiem, kas saskaņā  ar klasifikāciju ir 1. kategorijas akūtas toksicitātes vai 1. vai 2. kategorijas  hroniskas toksicitātes bīstamība ūdens videi, kā arī vielām, kas atbilst šā  pielikuma 1. tabulas "E" iedaļai (E1 un E2 ieraksts).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Bīstamās vielas, uz kurām neattiecas regula Nr. 1272/2008, tai skaitā  atkritumiem, bet kas tomēr atrodas vai varētu atrasties objektā un kurām ir  ekvivalentas vai līdzīgas bīstamās īpašības, kas varētu izraisīt rūpniecisko  avāriju, tiek iedalītas analogā kategorijā vai pielīdzinātas konkrētai bīstamai  vielai vai bīstamo vielu grupai, kas iekļauta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bīstamā viela, klasificējot pēc tās īpašībām, atbilst vairākām  bīstamības kategorijām vai bīstamo vielu grupām, tad, nosakot bīstamās vielas  kvalificējošo daudzumu, izvēlas to kategoriju vai grupu, kurai kvalificējošie  daudzumi ir skaitliski mazāki.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noteikumu_konsolidētā_versija_p1_23-TA-2072.docx</dc:title>
</cp:coreProperties>
</file>

<file path=docProps/custom.xml><?xml version="1.0" encoding="utf-8"?>
<Properties xmlns="http://schemas.openxmlformats.org/officeDocument/2006/custom-properties" xmlns:vt="http://schemas.openxmlformats.org/officeDocument/2006/docPropsVTypes"/>
</file>