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278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2026. gada 19. maijā (prot. Nr. 28 42.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16. jūnija noteikumos Nr. 383 "Noteikumi par garantijām saimnieciskās darbības veicējiem konkurētspējas uzlabošanai"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Attīstības finanšu institūcijas likuma</w:t>
      </w:r>
      <w:r w:rsidR="00000000" w:rsidRPr="00000000" w:rsidDel="00000000">
        <w:rPr>
          <w:rStyle w:val="paragraph"/>
          <w:i w:val="1"/>
          <w:rtl w:val="0"/>
        </w:rPr>
        <w:t xml:space="preserve"> 12. panta ceturto daļu,</w:t>
      </w:r>
      <w:r>
        <w:br/>
      </w:r>
      <w:r w:rsidR="00000000" w:rsidRPr="00000000" w:rsidDel="00000000">
        <w:rPr>
          <w:rStyle w:val="paragraph"/>
          <w:i w:val="1"/>
          <w:rtl w:val="0"/>
        </w:rPr>
        <w:t xml:space="preserve">Eiropas Savienības struktūrfondu un Kohēzijas fonda 2014.–2020. gada plānošanas perioda vadības likuma 20. panta</w:t>
      </w:r>
      <w:r w:rsidR="00000000" w:rsidRPr="00000000" w:rsidDel="00000000">
        <w:rPr>
          <w:rStyle w:val="paragraph"/>
          <w:i w:val="1"/>
          <w:rtl w:val="0"/>
        </w:rPr>
        <w:t xml:space="preserve"> 14. punktu un </w:t>
      </w:r>
      <w:r>
        <w:br/>
      </w:r>
      <w:r w:rsidR="00000000" w:rsidRPr="00000000" w:rsidDel="00000000">
        <w:rPr>
          <w:rStyle w:val="paragraph"/>
          <w:i w:val="1"/>
          <w:rtl w:val="0"/>
        </w:rPr>
        <w:t xml:space="preserve">Eiropas Savienības fondu 2021.–2027. gada plānošanas perioda vadības likuma 19. panta</w:t>
      </w:r>
      <w:r w:rsidR="00000000" w:rsidRPr="00000000" w:rsidDel="00000000">
        <w:rPr>
          <w:rStyle w:val="paragraph"/>
          <w:i w:val="1"/>
          <w:rtl w:val="0"/>
        </w:rPr>
        <w:t xml:space="preserve"> 14.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16. jūnija noteikumos Nr. 383 "Noteikumi par garantijām saimnieciskās darbības veicējiem konkurētspējas uzlabošanai" (Latvijas Vēstnesis, 2020, 119., 248. nr.; 2022, 121. nr.; 2023, 49., 173. nr.; 2024, 110. nr.; 2025, 155.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2</w:t>
      </w:r>
      <w:r w:rsidR="00000000" w:rsidRPr="00000000" w:rsidDel="00000000">
        <w:rPr>
          <w:rtl w:val="0"/>
        </w:rPr>
        <w:t xml:space="preserve"> Atbalstu saskaņā ar Komisijas regulu Nr. 651/2014 var saņemt, ja aizdevums, par kuru tiek sniegta garantija, ir saistīts ar sākotnējiem ieguldījumiem projektā Komisijas regulas Nr. 651/2014 14. panta ietvaros vai ar ieguldījumiem biometāna ražošanā un uzkrāšanā Komisijas regulas Nr. 651/2014 41. panta ietvaros un ir ievērots atbalsta stimulējošās ietekmes nosacījums, tas ir, projektu nevar uzsākt, pirms projekta pieteikums nav iesniegts sabiedrībai "Altum", ievērojot šo noteikumu 12.</w:t>
      </w:r>
      <w:r w:rsidR="00000000" w:rsidRPr="00000000" w:rsidDel="00000000">
        <w:rPr>
          <w:vertAlign w:val="superscript"/>
          <w:rtl w:val="0"/>
        </w:rPr>
        <w:t xml:space="preserve">1</w:t>
      </w:r>
      <w:r w:rsidR="00000000" w:rsidRPr="00000000" w:rsidDel="00000000">
        <w:rPr>
          <w:rtl w:val="0"/>
        </w:rPr>
        <w:t xml:space="preserve">6. un 12.</w:t>
      </w:r>
      <w:r w:rsidR="00000000" w:rsidRPr="00000000" w:rsidDel="00000000">
        <w:rPr>
          <w:vertAlign w:val="superscript"/>
          <w:rtl w:val="0"/>
        </w:rPr>
        <w:t xml:space="preserve">3</w:t>
      </w:r>
      <w:r w:rsidR="00000000" w:rsidRPr="00000000" w:rsidDel="00000000">
        <w:rPr>
          <w:rtl w:val="0"/>
        </w:rPr>
        <w:t xml:space="preserve">6.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Saimnieciskās darbības veicējam viena vienota uzņēmuma līmenī atbilstoši Komisijas regulas Nr. 2023/2831 2. panta 2. punkta definīcijai, ja atbalsts tiek sniegts saskaņā ar šo regulu, vai saimnieciskās darbības veicējam un ar to saistītām personām atbilstoši Komisijas regulas Nr. 651/2014 I pielikuma 3. panta 3. punkta definīcijai, ja atbalsts tiek sniegts saskaņā ar šo regulu, garantijas summa nepārsniedz: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 sīkajam (mikro), mazajam un vidējam saimnieciskās darbības veicējam un ar to saistītām personām – 25 000 000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12.1.1. ja atbalsts tiek sniegts kā </w:t>
      </w:r>
      <w:r w:rsidR="00000000" w:rsidRPr="00000000" w:rsidDel="00000000">
        <w:rPr>
          <w:i w:val="1"/>
          <w:rtl w:val="0"/>
        </w:rPr>
        <w:t xml:space="preserve">de minimis</w:t>
      </w:r>
      <w:r w:rsidR="00000000" w:rsidRPr="00000000" w:rsidDel="00000000">
        <w:rPr>
          <w:rtl w:val="0"/>
        </w:rPr>
        <w:t xml:space="preserve"> atbalsts un bruto subsīdijas ekvivalents tiek aprēķināts saskaņā ar Komisijas regulas (ES) Nr.  2023/2831 4. panta 6. punkta "c" apakšpunktu,  un garantijas sākotnējais termiņš nepārsniedz 10 gadus;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12.1.2. ja saimnieciskās darbības veicējam un ar to saistītām personām nav pieejams </w:t>
      </w:r>
      <w:r w:rsidR="00000000" w:rsidRPr="00000000" w:rsidDel="00000000">
        <w:rPr>
          <w:i w:val="1"/>
          <w:rtl w:val="0"/>
        </w:rPr>
        <w:t xml:space="preserve">de minimis </w:t>
      </w:r>
      <w:r w:rsidR="00000000" w:rsidRPr="00000000" w:rsidDel="00000000">
        <w:rPr>
          <w:rtl w:val="0"/>
        </w:rPr>
        <w:t xml:space="preserve">limits vismaz atbalsta subsīdijas ekvivalenta apmērā un ja garantija tiek sniegta saskaņā ar Komisijas regulas Nr. 651/2014 14. vai 41. panta 2.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 lielajam saimnieciskās darbības veicējam: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12.2.1. Komisijas regulas Nr. 2023/2831 4. panta 6. punkta "b" apakšpunktā noteikto garantijas summu un termiņu, ja atbalsts tiek sniegts kā </w:t>
      </w:r>
      <w:r w:rsidR="00000000" w:rsidRPr="00000000" w:rsidDel="00000000">
        <w:rPr>
          <w:i w:val="1"/>
          <w:rtl w:val="0"/>
        </w:rPr>
        <w:t xml:space="preserve">de minimis</w:t>
      </w:r>
      <w:r w:rsidR="00000000" w:rsidRPr="00000000" w:rsidDel="00000000">
        <w:rPr>
          <w:rtl w:val="0"/>
        </w:rPr>
        <w:t xml:space="preserve"> atbalsts un bruto subsīdijas ekvivalents tiek aprēķināts saskaņā ar Komisijas regulas Nr. 2023/2831 4. panta 6. punkta "b" apakšpunktu;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12.2.2. 25 000 000 </w:t>
      </w:r>
      <w:r w:rsidR="00000000" w:rsidRPr="00000000" w:rsidDel="00000000">
        <w:rPr>
          <w:i w:val="1"/>
          <w:rtl w:val="0"/>
        </w:rPr>
        <w:t xml:space="preserve">euro</w:t>
      </w:r>
      <w:r w:rsidR="00000000" w:rsidRPr="00000000" w:rsidDel="00000000">
        <w:rPr>
          <w:rtl w:val="0"/>
        </w:rPr>
        <w:t xml:space="preserve">, ja saimnieciskās darbības veicējam un ar to saistītām personām nav pieejams </w:t>
      </w:r>
      <w:r w:rsidR="00000000" w:rsidRPr="00000000" w:rsidDel="00000000">
        <w:rPr>
          <w:i w:val="1"/>
          <w:rtl w:val="0"/>
        </w:rPr>
        <w:t xml:space="preserve">de minimis</w:t>
      </w:r>
      <w:r w:rsidR="00000000" w:rsidRPr="00000000" w:rsidDel="00000000">
        <w:rPr>
          <w:rtl w:val="0"/>
        </w:rPr>
        <w:t xml:space="preserve"> atbalsts un ja garantija tiek sniegta saskaņā ar Komisijas regulas Nr. 651/2014 14. vai 41. panta 2.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 Ja atbalsts tiek sniegts saskaņā ar Komisijas regulas Nr. 651/2014 41. panta 2. punktu, ieguldījumi tiek veikti, ievērojot šādus nosacījumus: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1. ieguldījumi ir atbilstoši Komisijas regulas Nr. 651/2014 41. panta 5. un 6. punkta nosacījumiem;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2. ieguldījumi ir paredzēti biometāna ražošanai – biometāna attīrīšanas un uzglabāšanas iekārtu iegādei un uzstādīšanai, tai skaitā nepieciešamās infrastruktūras izbūvei, kas paredzēta biometāna uzpildei vai piegādei līdz dabasgāzes apgādes sistēmai, un pieslēguma izveidei, ja visi šie elementi ir integrēti un ir neatņemama ražošanas procesa sistēmas sastāvdaļa un kopējā ieguldījumu atbalsta apmērs, – ja jau iepriekš saņemtais atbalsts Komisijas regulas Nr. 651/2014 41. panta ietvaros nepārsniedz 30 000 000 </w:t>
      </w:r>
      <w:r w:rsidR="00000000" w:rsidRPr="00000000" w:rsidDel="00000000">
        <w:rPr>
          <w:i w:val="1"/>
          <w:rtl w:val="0"/>
        </w:rPr>
        <w:t xml:space="preserve">euro</w:t>
      </w:r>
      <w:r w:rsidR="00000000" w:rsidRPr="00000000" w:rsidDel="00000000">
        <w:rPr>
          <w:rtl w:val="0"/>
        </w:rPr>
        <w:t xml:space="preserve"> vienam saimnieciskās darbības veicējam, tai skaitā saistīto personu līmenī ieguldījumu projektā saskaņā ar Komisijas regulas Nr. 651/2014 4. panta 1. punkta "s" apakšpunktu. Visas plānotās infrastruktūras izmaksas biometāna ražošanai, tai skaitā pieslēguma izmaksas, transportēšanas, ievades tīklā un uzpildes izmaksas, var būt attiecināmas tikai tad, ja šie elementi tiek uzskatīti par integrētām sastāvdaļām, proti, ir neatraujama ražošanas procesa sistēmas daļa, bez kuras biometāna ražošanas vai uzkrāšanas projekts netiktu īstenots;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3. biometāns tiek ražots atbilstoši normatīvajiem aktiem par transporta enerģiju;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4. saimnieciskās darbības veicējs ir esošs biometāna ražotājs vai plāno ražot biometānu, kas būs saimnieciskās darbības veicēja īpašumā un ko tas pārvadās, pārdos vai izmantos pašpatēriņam;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5. saimnieciskās darbības veicējs, tai skaitā vērtējot saistīto personu līmenī, nav uzskatāms par grūtībās nonākušu uzņēmumu saskaņā ar Komisijas regulas Nr. 651/2014 2. panta 18. punktu;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6. atbalstam ir stimulējoša ietekme, ko apliecina saimnieciskās darbības veicēja iesniegtais pieteikums atbilstoši Komisijas regulas Nr. 651/2014 6. panta 2. punktam un šo noteikumu 5.</w:t>
      </w:r>
      <w:r w:rsidR="00000000" w:rsidRPr="00000000" w:rsidDel="00000000">
        <w:rPr>
          <w:vertAlign w:val="superscript"/>
          <w:rtl w:val="0"/>
        </w:rPr>
        <w:t xml:space="preserve">3</w:t>
      </w:r>
      <w:r w:rsidR="00000000" w:rsidRPr="00000000" w:rsidDel="00000000">
        <w:rPr>
          <w:rtl w:val="0"/>
        </w:rPr>
        <w:t xml:space="preserve"> punktā minētajiem nosacījumiem. Ja projektam piesaista citu publisko finansējumu, saimnieciskās darbības veicējs projekta īstenošanu var uzsākt tad, kad visās iestādēs, kurās tas pretendē uz atbalstu, ir iesniegts pieteikums un ir pieņemts lēmums par atbalsta piešķiršanu vai noslēgts līgums, ja atbalstu nepiešķir ar lēmumu. Ja projekta īstenošana ir uzsākta pirms garantijas pieteikuma iesniegšanas, pieteikumu noraida;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3</w:t>
      </w:r>
      <w:r w:rsidR="00000000" w:rsidRPr="00000000" w:rsidDel="00000000">
        <w:rPr>
          <w:rtl w:val="0"/>
        </w:rPr>
        <w:t xml:space="preserve">7. biometāna ražošana un uzkrāšana atbilst normatīvajiem aktiem par ilgtspējas un siltumnīcefekta gāzu emisiju ietaupījuma kritērijiem, no biomasas kurināmā ražotās elektroenerģijas kritērijiem un kārtībai, kādā pamatojama, apliecināma un uzraugāma atbilstība minētajiem kritērijiem. Atbalsta saņēmējs iesniedz sertifikāta kopiju, kas atbilst Ministru kabineta 2022. gada 2. novembra noteikumiem Nr. 686 "Noteikumi par ilgtspējas un siltumnīcefekta gāzu emisiju ietaupījuma kritērijiem, no biomasas kurināmā ražotās elektroenerģijas kritērijiem un kārtību, kādā pamatojama, apliecināma un uzraugāma atbilstība minētajiem kritērijiem" un Komisijas 2022. gada 14. jūnija Īstenošanas regulas (ES) 2022/996 par ilgtspējas kritēriju, siltumnīcefekta gāzu emisiju aiztaupījuma kritēriju un zema netiešas zemes izmantojuma maiņas riska kritēriju verifikācijas noteikumiem 2. panta 4. punkta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 Atbalstam, kam piemēro Komisijas regulas Nr. 651/2014 41. panta 5. un 6. punktu, ievērojot minētās regulas 41. panta 7. punkta "a" apakšpunktu un 8. punktu, maksimāli pieļaujamā atbalsta intensitāte biometāna ražošanas ieguldījumiem no projekta attiecināmajām izmaksām nepārsniedz: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1. lielajam saimnieciskās darbības veicējam – 45 %;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2. vidējam saimnieciskās darbības veicējam – 55 %;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4</w:t>
      </w:r>
      <w:r w:rsidR="00000000" w:rsidRPr="00000000" w:rsidDel="00000000">
        <w:rPr>
          <w:rtl w:val="0"/>
        </w:rPr>
        <w:t xml:space="preserve">3. sīkajam (mikro) un mazajam saimnieciskās darbības veicējam – 65 %."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 Atbalstam, kam piemēro Komisijas regulas Nr. 651/2014 41. panta 5. un 6. punktu, ievērojot minētās regulas 41. panta 7. punkta "b" apakšpunktu un 8. punktu, maksimāli pieļaujamā atbalsta intensitāte biometāna uzkrāšanas ieguldījumiem no projekta attiecināmajām izmaksām nepārsniedz:</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1. lielajam saimnieciskās darbības veicējam – 30 %;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2. vidējam saimnieciskās darbības veicējam – 40 %;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5</w:t>
      </w:r>
      <w:r w:rsidR="00000000" w:rsidRPr="00000000" w:rsidDel="00000000">
        <w:rPr>
          <w:rtl w:val="0"/>
        </w:rPr>
        <w:t xml:space="preserve">3. sīkajam (mikro) un mazajam saimnieciskās darbības veicējam – 50 %."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Lielajam saimnieciskās darbības veicējam un šo noteikumu 4.</w:t>
      </w:r>
      <w:r w:rsidR="00000000" w:rsidRPr="00000000" w:rsidDel="00000000">
        <w:rPr>
          <w:vertAlign w:val="superscript"/>
          <w:rtl w:val="0"/>
        </w:rPr>
        <w:t xml:space="preserve">1</w:t>
      </w:r>
      <w:r w:rsidR="00000000" w:rsidRPr="00000000" w:rsidDel="00000000">
        <w:rPr>
          <w:rtl w:val="0"/>
        </w:rPr>
        <w:t xml:space="preserve"> punktā minētajiem saimnieciskās darbības veicējiem, sniedzot atbalstu saskaņā ar Komisijas regulas Nr. 651/2014 14. vai 41. pantu, piemēro šo noteikumu 12.2.1. vai 12.2.2. apakšpunkta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Termiņu garantijai, kas izsniegta iepriekš saskaņā ar Komisijas regulas Nr. 651/2014 14. un 41. pantu, nevar pagarināt, un kopējais garantijas termiņš nepārsniedz 15 gadus."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16.</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3</w:t>
      </w:r>
      <w:r w:rsidR="00000000" w:rsidRPr="00000000" w:rsidDel="00000000">
        <w:rPr>
          <w:rtl w:val="0"/>
        </w:rPr>
        <w:t xml:space="preserve"> Ja garantija tiek piešķirta saskaņā ar Komisijas regulas Nr. 651/2014 14. un 41. pantu un uz saimnieciskās darbības veicēju un ar to saistītām personām saskaņā ar iepriekšēju Komisijas lēmumu atbilstoši Komisijas regulas Nr. 651/2014 I pielikuma 3. panta 3. punkta definīcijai attiecas šīs regulas 1. panta 4. punktā minētais līdzekļu atgūšanas rīkojums, atbalsts, kuru piešķīrusi tā pati dalībvalsts, atzīts par nelikumīgu un nesaderīgu ar kopējo tirgu."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Papildināt ar 16.</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4</w:t>
      </w:r>
      <w:r w:rsidR="00000000" w:rsidRPr="00000000" w:rsidDel="00000000">
        <w:rPr>
          <w:rtl w:val="0"/>
        </w:rPr>
        <w:t xml:space="preserve"> Ja garantija tiek piešķirta saskaņā ar Komisijas regulas Nr. 651/2014 41. pantu, garantiju nepiešķir šādām darbībām un nozarēm: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4</w:t>
      </w:r>
      <w:r w:rsidR="00000000" w:rsidRPr="00000000" w:rsidDel="00000000">
        <w:rPr>
          <w:rtl w:val="0"/>
        </w:rPr>
        <w:t xml:space="preserve">1. Komisijas regulas Nr. 651/2014 1. panta 2. punktā noteiktajām darbībām;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vertAlign w:val="superscript"/>
          <w:rtl w:val="0"/>
        </w:rPr>
        <w:t xml:space="preserve">4</w:t>
      </w:r>
      <w:r w:rsidR="00000000" w:rsidRPr="00000000" w:rsidDel="00000000">
        <w:rPr>
          <w:rtl w:val="0"/>
        </w:rPr>
        <w:t xml:space="preserve">2. Komisijas regulas Nr. 651/2014 1. panta 3. punkta "a" apakšpunktā noteiktajām nozarēm."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30.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 Atbalstu, kas piešķirts saskaņā ar Komisijas regulas Nr. 651/2014 14. vai 41. pantu: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1. var apvienot ar citu valsts atbalstu, kura attiecināmās izmaksas nav nosakāmas, nepārsniedzot šajos noteikumos paredzēto finansējuma intensitāti un apmēru un nepārsniedzot maksimālā publiskā finansējuma apmēru vai maksimālo robežvērtību, kas noteikta citā valsts atbalsta programmā, </w:t>
      </w:r>
      <w:r w:rsidR="00000000" w:rsidRPr="00000000" w:rsidDel="00000000">
        <w:rPr>
          <w:i w:val="1"/>
          <w:rtl w:val="0"/>
        </w:rPr>
        <w:t xml:space="preserve">ad-hoc</w:t>
      </w:r>
      <w:r w:rsidR="00000000" w:rsidRPr="00000000" w:rsidDel="00000000">
        <w:rPr>
          <w:rtl w:val="0"/>
        </w:rPr>
        <w:t xml:space="preserve"> atbalsta projektā vai Eiropas Komisijas lēmumā;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vertAlign w:val="superscript"/>
          <w:rtl w:val="0"/>
        </w:rPr>
        <w:t xml:space="preserve">1</w:t>
      </w:r>
      <w:r w:rsidR="00000000" w:rsidRPr="00000000" w:rsidDel="00000000">
        <w:rPr>
          <w:rtl w:val="0"/>
        </w:rPr>
        <w:t xml:space="preserve">2. var apvienot ar šīs vai citas atbalsta programmas vai </w:t>
      </w:r>
      <w:r w:rsidR="00000000" w:rsidRPr="00000000" w:rsidDel="00000000">
        <w:rPr>
          <w:i w:val="1"/>
          <w:rtl w:val="0"/>
        </w:rPr>
        <w:t xml:space="preserve">ad-hoc </w:t>
      </w:r>
      <w:r w:rsidR="00000000" w:rsidRPr="00000000" w:rsidDel="00000000">
        <w:rPr>
          <w:rtl w:val="0"/>
        </w:rPr>
        <w:t xml:space="preserve">atbalsta projekta ietvaros piešķirto finansējumu, tai skaitā par tām pašām attiecināmajām izmaksām, un ar </w:t>
      </w:r>
      <w:r w:rsidR="00000000" w:rsidRPr="00000000" w:rsidDel="00000000">
        <w:rPr>
          <w:i w:val="1"/>
          <w:rtl w:val="0"/>
        </w:rPr>
        <w:t xml:space="preserve">de minimis</w:t>
      </w:r>
      <w:r w:rsidR="00000000" w:rsidRPr="00000000" w:rsidDel="00000000">
        <w:rPr>
          <w:rtl w:val="0"/>
        </w:rPr>
        <w:t xml:space="preserve"> atbalstu, ievērojot nosacījumu, ka šo noteikumu ietvaros piešķirtais finansējums kopā ar šīs vai citas atbalsta programmas vai </w:t>
      </w:r>
      <w:r w:rsidR="00000000" w:rsidRPr="00000000" w:rsidDel="00000000">
        <w:rPr>
          <w:i w:val="1"/>
          <w:rtl w:val="0"/>
        </w:rPr>
        <w:t xml:space="preserve">ad-hoc</w:t>
      </w:r>
      <w:r w:rsidR="00000000" w:rsidRPr="00000000" w:rsidDel="00000000">
        <w:rPr>
          <w:rtl w:val="0"/>
        </w:rPr>
        <w:t xml:space="preserve"> atbalsta projekta ietvaros piešķirto finansējumu nepārsniedz maksimāli pieļaujamo reģionālā finansējuma intensitāti, kas noteikta šo noteikumu 12.2. apakšpunktā, 12.</w:t>
      </w:r>
      <w:r w:rsidR="00000000" w:rsidRPr="00000000" w:rsidDel="00000000">
        <w:rPr>
          <w:vertAlign w:val="superscript"/>
          <w:rtl w:val="0"/>
        </w:rPr>
        <w:t xml:space="preserve">4</w:t>
      </w:r>
      <w:r w:rsidR="00000000" w:rsidRPr="00000000" w:rsidDel="00000000">
        <w:rPr>
          <w:rtl w:val="0"/>
        </w:rPr>
        <w:t xml:space="preserve"> un 12.</w:t>
      </w:r>
      <w:r w:rsidR="00000000" w:rsidRPr="00000000" w:rsidDel="00000000">
        <w:rPr>
          <w:vertAlign w:val="superscript"/>
          <w:rtl w:val="0"/>
        </w:rPr>
        <w:t xml:space="preserve">5</w:t>
      </w:r>
      <w:r w:rsidR="00000000" w:rsidRPr="00000000" w:rsidDel="00000000">
        <w:rPr>
          <w:rtl w:val="0"/>
        </w:rPr>
        <w:t xml:space="preserve"> punktā."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31.</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4</w:t>
      </w:r>
      <w:r w:rsidR="00000000" w:rsidRPr="00000000" w:rsidDel="00000000">
        <w:rPr>
          <w:rtl w:val="0"/>
        </w:rPr>
        <w:t xml:space="preserve"> Sabiedrība "Altum" informāciju par atbalstu, kas izsniegts saskaņā ar Komisijas regulas Nr. 651/2014 14.  vai 41. pantu, publicē atbilstoši Komisijas regulas Nr. 651/2014 9. panta 1. un 4. punktā noteiktajām publicitātes pasākumu prasībām un normatīvajiem aktiem par kārtību, kādā publicē informāciju par sniegto komercdarbības atbalstu."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 aizsardzības ministra pienākumu izpildītāja</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 zemkopības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26-TA-1120</w:t>
    </w:r>
    <w:r>
      <w:br/>
    </w:r>
    <w:r w:rsidR="00000000" w:rsidRPr="00000000" w:rsidDel="00000000">
      <w:rPr>
        <w:rtl w:val="0"/>
      </w:rPr>
      <w:t xml:space="preserve">Izdrukāts 30.07.2026. 00.24 - 1.0.VK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26-TA-1120</w:t>
    </w:r>
    <w:r>
      <w:br/>
    </w:r>
    <w:r w:rsidR="00000000" w:rsidRPr="00000000" w:rsidDel="00000000">
      <w:rPr>
        <w:rtl w:val="0"/>
      </w:rPr>
      <w:t xml:space="preserve">Izdrukāts 30.07.2026. 00.24 - 1.0.VK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noteikumu_(grozījumu)_projekts_26-TA-1120.docx</dc:title>
</cp:coreProperties>
</file>

<file path=docProps/custom.xml><?xml version="1.0" encoding="utf-8"?>
<Properties xmlns="http://schemas.openxmlformats.org/officeDocument/2006/custom-properties" xmlns:vt="http://schemas.openxmlformats.org/officeDocument/2006/docPropsVTypes"/>
</file>