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 (Latvijas Vēstnesis, 2015, 240. nr.; 2020, 61.,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specifiskais iznākuma rādītājs – līdz 2023. gada 31. decembrim mājsaimniecību skaits atbalstāmajās administratīvajās teritorijās, kurās komersantiem ir nodrošināta iespēja pieslēgties specifiskā atbalsta mērķa ietvaros izbūvētajam atvilces maršrutēšanas tīklam, – 83 800 mājsaimniecību;".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rezultāta rādītāji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mājsaimniecības laukos, kurām pieejami platjoslas piekļuves pakalpojumi ar vismaz 30 Mb/s datu pārraides ātrumu, – 85 % mājsaimniecību;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pieslēgumi ar vismaz 30 Mb/s datu pārraides ātrumu – 75 % no kopējā pieslēgumu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specifiskais iznākuma rādītājs – līdz 2023. gada 31. decembrim izglītības iestāžu skaits, kurās ierīkots optiskā tīkla piekļuves punkts, – 6."</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23-TA-1422</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23-TA-1422</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noteikumu_(grozījumu)_projekts_23-TA-1422.docx</dc:title>
</cp:coreProperties>
</file>

<file path=docProps/custom.xml><?xml version="1.0" encoding="utf-8"?>
<Properties xmlns="http://schemas.openxmlformats.org/officeDocument/2006/custom-properties" xmlns:vt="http://schemas.openxmlformats.org/officeDocument/2006/docPropsVTypes"/>
</file>