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budžeta likumprojektā iekļaujamo prioritāro pasākumu pamatprincipiem un uzdevumiem likumprojekta “Par valsts budžetu 2025. gadam un budžeta ietvaru 2025., 2026. un 2027. gadam” sagatavošanai"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informatīvajā ziņojumā minētos pamatprincipus atbalstāmajiem prioritārajiem pasākumiem 2025., 2026., 2027. un 2028. gadam un turpināt sarunas par valsts budžeta likumprojektā iekļaujamiem prioritārajiem pasākumiem.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2025. gadā ierobežojumu atlīdzības fonda pieaugumam ne vairāk kā 2,6% apmērā pret 2024. gada aktualizēto plānu uz 31. jūliju. Minētais attiecināms uz publisko pārvaldi, tai skaitā pašvaldībām,  valsts un pašvaldību finansētām kapitālsabiedrībām (pret 2024. gada pusgada plānu), tai skaitā pieklasificētām. Ministru kabinetam ir tiesības lemt par izņēmumiem no valsts budžeta finansētām institūcijām, savukārt pašvaldībām ir tiesības noteikt izņēmumus, ja tiek pieņemts attiecīgs domes lēmums, kas pamato izņēmumu. Neatkarīgās institūcijas tiek aicinātas solidāri ievērot 2025. gadam noteiktos ierobežojumus atlīdzības jomā. Valsts kancelejai sagatavot priekšlikumu nepieciešamajam regulējumam iekļaušanai valsts budžeta likumprojektā 2025. gadam vai budžeta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papildu finansējumu nozaru ministriju pieteiktajām drošības prioritātēm, atbalstīt horizontālu ministriju un citu centrālo valsts iestāžu (turpmāk – ministrijas) (izņemot neatkarīgās institūcijas) izdevumu no dotācijas no vispārējiem ieņēmumiem samazināšanu. Finanšu ministrijai līdz šā gada 30. augustam nosūtīt ministrijām informāciju par samazināmā finansējuma apjomu. Ministrijām līdz šā gada 3. septembrim iesniegt Finanšu ministrijā informāciju par samazināmā finansējuma sadalījumu par programmām, apakšprogrammām un izdevumu klasifikācijas kodiem.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Papildus šā protokola 4. punktā minētajam  samazinājumam nozaru ministrijām pārskatīt valsts budžeta bāzēs 2025., 2026., 2027. un 2028. gadam paredzēto finansējuma pieaugumu atsevišķiem pasākumiem, saglabājot turpmākajiem gadiem to 2024. gada līmenī un līdz šā gada 3. septembrim iesniegt Finanšu ministrijā priekšlikumus par iespējamo finansējuma samazinājumu 2025. gadam un turpmāk.</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24-TA-2073</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mk_sēdes_protokollēmuma_projekts_24-TA-2073.docx</dc:title>
</cp:coreProperties>
</file>

<file path=docProps/custom.xml><?xml version="1.0" encoding="utf-8"?>
<Properties xmlns="http://schemas.openxmlformats.org/officeDocument/2006/custom-properties" xmlns:vt="http://schemas.openxmlformats.org/officeDocument/2006/docPropsVTypes"/>
</file>